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4B267" w14:textId="77777777" w:rsidR="00D461D3" w:rsidRPr="008E79E9" w:rsidRDefault="00D461D3" w:rsidP="00D461D3">
      <w:pPr>
        <w:jc w:val="center"/>
        <w:rPr>
          <w:b/>
          <w:sz w:val="28"/>
          <w:szCs w:val="28"/>
        </w:rPr>
      </w:pPr>
      <w:r w:rsidRPr="008E79E9">
        <w:rPr>
          <w:b/>
          <w:bCs/>
          <w:noProof/>
          <w:kern w:val="36"/>
          <w:sz w:val="48"/>
          <w:szCs w:val="48"/>
          <w:lang w:eastAsia="ru-RU"/>
        </w:rPr>
        <w:drawing>
          <wp:inline distT="0" distB="0" distL="0" distR="0" wp14:anchorId="65A3264B" wp14:editId="3F00F592">
            <wp:extent cx="5600700" cy="1257300"/>
            <wp:effectExtent l="0" t="0" r="0" b="0"/>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63527BE8" w14:textId="77777777" w:rsidR="00A17CD7" w:rsidRDefault="00A17CD7" w:rsidP="00A17CD7">
      <w:pPr>
        <w:jc w:val="center"/>
        <w:rPr>
          <w:rFonts w:ascii="Times New Roman" w:hAnsi="Times New Roman"/>
          <w:b/>
          <w:sz w:val="44"/>
          <w:szCs w:val="44"/>
        </w:rPr>
      </w:pPr>
    </w:p>
    <w:p w14:paraId="47DF79DA" w14:textId="77777777" w:rsidR="00A17CD7" w:rsidRPr="00A17CD7" w:rsidRDefault="00A17CD7" w:rsidP="00A17CD7">
      <w:pPr>
        <w:jc w:val="center"/>
        <w:rPr>
          <w:rFonts w:ascii="Times New Roman" w:hAnsi="Times New Roman"/>
          <w:b/>
          <w:sz w:val="44"/>
          <w:szCs w:val="44"/>
          <w:lang w:val="uk-UA"/>
        </w:rPr>
      </w:pPr>
      <w:r w:rsidRPr="00A17CD7">
        <w:rPr>
          <w:rFonts w:ascii="Times New Roman" w:hAnsi="Times New Roman"/>
          <w:b/>
          <w:sz w:val="44"/>
          <w:szCs w:val="44"/>
          <w:lang w:val="uk-UA"/>
        </w:rPr>
        <w:t>Одеська обласна організація</w:t>
      </w:r>
    </w:p>
    <w:p w14:paraId="4B4CE0E6" w14:textId="77777777" w:rsidR="00D461D3" w:rsidRPr="008E79E9" w:rsidRDefault="00D461D3" w:rsidP="00D461D3">
      <w:pPr>
        <w:rPr>
          <w:b/>
          <w:sz w:val="28"/>
          <w:szCs w:val="28"/>
        </w:rPr>
      </w:pPr>
    </w:p>
    <w:p w14:paraId="5F5CBC55" w14:textId="77777777" w:rsidR="00D461D3" w:rsidRPr="008E79E9" w:rsidRDefault="00D461D3" w:rsidP="00D461D3">
      <w:pPr>
        <w:rPr>
          <w:b/>
        </w:rPr>
      </w:pPr>
      <w:r w:rsidRPr="008E79E9">
        <w:rPr>
          <w:b/>
        </w:rPr>
        <w:t xml:space="preserve">                           </w:t>
      </w:r>
      <w:r w:rsidRPr="008E79E9">
        <w:rPr>
          <w:b/>
          <w:noProof/>
          <w:lang w:eastAsia="ru-RU"/>
        </w:rPr>
        <mc:AlternateContent>
          <mc:Choice Requires="wps">
            <w:drawing>
              <wp:inline distT="0" distB="0" distL="0" distR="0" wp14:anchorId="22D9B237" wp14:editId="1496A919">
                <wp:extent cx="3796030" cy="403860"/>
                <wp:effectExtent l="9525" t="9525" r="38100" b="2857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6030" cy="403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AE850F" w14:textId="77777777" w:rsidR="00D461D3" w:rsidRPr="009956D0" w:rsidRDefault="00D461D3" w:rsidP="00D461D3">
                            <w:pPr>
                              <w:jc w:val="center"/>
                              <w:rPr>
                                <w:rFonts w:ascii="Times New Roman" w:hAnsi="Times New Roman"/>
                                <w:lang w:val="uk-UA"/>
                              </w:rPr>
                            </w:pPr>
                            <w:r w:rsidRPr="009956D0">
                              <w:rPr>
                                <w:rFonts w:ascii="Times New Roman" w:hAnsi="Times New Roman"/>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22D9B237" id="_x0000_t202" coordsize="21600,21600" o:spt="202" path="m,l,21600r21600,l21600,xe">
                <v:stroke joinstyle="miter"/>
                <v:path gradientshapeok="t" o:connecttype="rect"/>
              </v:shapetype>
              <v:shape id="Надпись 3" o:spid="_x0000_s1026" type="#_x0000_t202" style="width:298.9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" filled="f" stroked="f">
                <v:stroke joinstyle="round"/>
                <o:lock v:ext="edit" shapetype="t"/>
                <v:textbox style="mso-fit-shape-to-text:t">
                  <w:txbxContent>
                    <w:p w14:paraId="0DAE850F" w14:textId="77777777" w:rsidR="00D461D3" w:rsidRPr="009956D0" w:rsidRDefault="00D461D3" w:rsidP="00D461D3">
                      <w:pPr>
                        <w:jc w:val="center"/>
                        <w:rPr>
                          <w:rFonts w:ascii="Times New Roman" w:hAnsi="Times New Roman"/>
                          <w:lang w:val="uk-UA"/>
                        </w:rPr>
                      </w:pPr>
                      <w:r w:rsidRPr="009956D0">
                        <w:rPr>
                          <w:rFonts w:ascii="Times New Roman" w:hAnsi="Times New Roman"/>
                          <w:color w:val="336699"/>
                          <w:sz w:val="56"/>
                          <w:szCs w:val="56"/>
                          <w:lang w:val="uk-UA"/>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03B1EE7C" w14:textId="77777777" w:rsidR="00D461D3" w:rsidRPr="008E79E9" w:rsidRDefault="00D461D3" w:rsidP="00D461D3">
      <w:pPr>
        <w:jc w:val="center"/>
        <w:rPr>
          <w:b/>
          <w:sz w:val="28"/>
          <w:szCs w:val="28"/>
        </w:rPr>
      </w:pPr>
    </w:p>
    <w:p w14:paraId="5C16CA36" w14:textId="77777777" w:rsidR="00D461D3" w:rsidRPr="008E79E9" w:rsidRDefault="00D461D3" w:rsidP="00D461D3">
      <w:pPr>
        <w:jc w:val="center"/>
        <w:rPr>
          <w:b/>
          <w:sz w:val="28"/>
          <w:szCs w:val="28"/>
        </w:rPr>
      </w:pPr>
    </w:p>
    <w:p w14:paraId="7158582D" w14:textId="0324C98C" w:rsidR="00D461D3" w:rsidRPr="00631606" w:rsidRDefault="00D461D3" w:rsidP="00D461D3">
      <w:pPr>
        <w:jc w:val="center"/>
        <w:rPr>
          <w:rFonts w:ascii="Times New Roman" w:hAnsi="Times New Roman"/>
          <w:b/>
          <w:sz w:val="40"/>
          <w:szCs w:val="40"/>
          <w:lang w:val="uk-UA"/>
        </w:rPr>
      </w:pPr>
      <w:r w:rsidRPr="009956D0">
        <w:rPr>
          <w:rFonts w:ascii="Times New Roman" w:hAnsi="Times New Roman"/>
          <w:b/>
          <w:sz w:val="40"/>
          <w:szCs w:val="40"/>
        </w:rPr>
        <w:t xml:space="preserve">№ </w:t>
      </w:r>
      <w:r w:rsidR="00F727AC">
        <w:rPr>
          <w:rFonts w:ascii="Times New Roman" w:hAnsi="Times New Roman"/>
          <w:b/>
          <w:sz w:val="40"/>
          <w:szCs w:val="40"/>
          <w:lang w:val="uk-UA"/>
        </w:rPr>
        <w:t>3</w:t>
      </w:r>
    </w:p>
    <w:p w14:paraId="653B9907" w14:textId="3D1BAFD8" w:rsidR="00D461D3" w:rsidRPr="009956D0" w:rsidRDefault="005A33E1" w:rsidP="009956D0">
      <w:pPr>
        <w:jc w:val="center"/>
        <w:rPr>
          <w:rFonts w:ascii="Times New Roman" w:hAnsi="Times New Roman"/>
          <w:b/>
          <w:sz w:val="32"/>
          <w:szCs w:val="32"/>
        </w:rPr>
      </w:pPr>
      <w:r>
        <w:rPr>
          <w:rFonts w:ascii="Times New Roman" w:hAnsi="Times New Roman"/>
          <w:b/>
          <w:sz w:val="32"/>
          <w:szCs w:val="32"/>
          <w:lang w:val="uk-UA"/>
        </w:rPr>
        <w:t>С</w:t>
      </w:r>
      <w:r w:rsidR="00650060" w:rsidRPr="009956D0">
        <w:rPr>
          <w:rFonts w:ascii="Times New Roman" w:hAnsi="Times New Roman"/>
          <w:b/>
          <w:sz w:val="32"/>
          <w:szCs w:val="32"/>
          <w:lang w:val="uk-UA"/>
        </w:rPr>
        <w:t xml:space="preserve">ічень </w:t>
      </w:r>
      <w:r w:rsidR="00D461D3" w:rsidRPr="009956D0">
        <w:rPr>
          <w:rFonts w:ascii="Times New Roman" w:hAnsi="Times New Roman"/>
          <w:b/>
          <w:sz w:val="32"/>
          <w:szCs w:val="32"/>
        </w:rPr>
        <w:t xml:space="preserve">   202</w:t>
      </w:r>
      <w:r w:rsidR="00D461D3" w:rsidRPr="009956D0">
        <w:rPr>
          <w:rFonts w:ascii="Times New Roman" w:hAnsi="Times New Roman"/>
          <w:b/>
          <w:sz w:val="32"/>
          <w:szCs w:val="32"/>
          <w:lang w:val="uk-UA"/>
        </w:rPr>
        <w:t>2</w:t>
      </w:r>
      <w:r w:rsidR="00D461D3" w:rsidRPr="009956D0">
        <w:rPr>
          <w:rFonts w:ascii="Times New Roman" w:hAnsi="Times New Roman"/>
          <w:b/>
          <w:sz w:val="32"/>
          <w:szCs w:val="32"/>
        </w:rPr>
        <w:t xml:space="preserve"> р.</w:t>
      </w:r>
    </w:p>
    <w:p w14:paraId="3A6A83ED" w14:textId="77777777" w:rsidR="00D461D3" w:rsidRPr="00CD2161" w:rsidRDefault="00D461D3" w:rsidP="00D461D3">
      <w:pPr>
        <w:rPr>
          <w:b/>
          <w:color w:val="4BACC6" w:themeColor="accent5"/>
          <w:sz w:val="36"/>
          <w:szCs w:val="36"/>
        </w:rPr>
      </w:pPr>
    </w:p>
    <w:p w14:paraId="69C75FC5" w14:textId="104DDFCE" w:rsidR="00D461D3" w:rsidRDefault="00D461D3" w:rsidP="00D461D3">
      <w:pPr>
        <w:rPr>
          <w:b/>
          <w:bCs/>
          <w:sz w:val="32"/>
          <w:szCs w:val="32"/>
        </w:rPr>
      </w:pPr>
    </w:p>
    <w:p w14:paraId="1338BBAA" w14:textId="3398830F" w:rsidR="00F727AC" w:rsidRPr="002172CD" w:rsidRDefault="00F727AC" w:rsidP="002172CD">
      <w:pPr>
        <w:jc w:val="center"/>
        <w:rPr>
          <w:rFonts w:ascii="Times New Roman" w:hAnsi="Times New Roman"/>
          <w:b/>
          <w:color w:val="215868" w:themeColor="accent5" w:themeShade="80"/>
          <w:sz w:val="44"/>
          <w:szCs w:val="44"/>
          <w:lang w:val="uk-UA"/>
        </w:rPr>
      </w:pPr>
      <w:r w:rsidRPr="002172CD">
        <w:rPr>
          <w:rFonts w:ascii="Times New Roman" w:hAnsi="Times New Roman"/>
          <w:b/>
          <w:color w:val="215868" w:themeColor="accent5" w:themeShade="80"/>
          <w:sz w:val="44"/>
          <w:szCs w:val="44"/>
        </w:rPr>
        <w:t>ДЕРЖБЮДЖЕТ 2022: освіта</w:t>
      </w:r>
      <w:r w:rsidR="002172CD">
        <w:rPr>
          <w:rFonts w:ascii="Times New Roman" w:hAnsi="Times New Roman"/>
          <w:b/>
          <w:color w:val="215868" w:themeColor="accent5" w:themeShade="80"/>
          <w:sz w:val="44"/>
          <w:szCs w:val="44"/>
          <w:lang w:val="uk-UA"/>
        </w:rPr>
        <w:t>.</w:t>
      </w:r>
    </w:p>
    <w:p w14:paraId="02842574" w14:textId="49939DE7" w:rsidR="00F727AC" w:rsidRPr="002172CD" w:rsidRDefault="00F727AC" w:rsidP="002172CD">
      <w:pPr>
        <w:jc w:val="center"/>
        <w:rPr>
          <w:rFonts w:ascii="Times New Roman" w:hAnsi="Times New Roman"/>
          <w:b/>
          <w:color w:val="215868" w:themeColor="accent5" w:themeShade="80"/>
          <w:sz w:val="44"/>
          <w:szCs w:val="44"/>
        </w:rPr>
      </w:pPr>
      <w:r w:rsidRPr="002172CD">
        <w:rPr>
          <w:rFonts w:ascii="Times New Roman" w:hAnsi="Times New Roman"/>
          <w:b/>
          <w:color w:val="215868" w:themeColor="accent5" w:themeShade="80"/>
          <w:sz w:val="44"/>
          <w:szCs w:val="44"/>
        </w:rPr>
        <w:t>Прожитковий мінімум на 2022 рік</w:t>
      </w:r>
    </w:p>
    <w:p w14:paraId="229D8B90" w14:textId="77777777" w:rsidR="00F727AC" w:rsidRPr="00E5127C" w:rsidRDefault="00F727AC" w:rsidP="00F727AC">
      <w:pPr>
        <w:rPr>
          <w:rFonts w:ascii="Arial" w:eastAsia="Times New Roman" w:hAnsi="Arial" w:cs="Arial"/>
          <w:color w:val="00B0F0"/>
          <w:sz w:val="24"/>
          <w:szCs w:val="24"/>
          <w:shd w:val="clear" w:color="auto" w:fill="FFFFFF"/>
          <w:lang w:eastAsia="ru-RU"/>
        </w:rPr>
      </w:pPr>
    </w:p>
    <w:p w14:paraId="10FFE48A" w14:textId="77777777" w:rsidR="00F727AC" w:rsidRDefault="00F727AC" w:rsidP="00F727AC">
      <w:pPr>
        <w:rPr>
          <w:rFonts w:ascii="Arial" w:hAnsi="Arial" w:cs="Arial"/>
          <w:b/>
          <w:bCs/>
          <w:sz w:val="24"/>
          <w:szCs w:val="24"/>
          <w:lang w:val="uk-UA"/>
        </w:rPr>
      </w:pPr>
      <w:r>
        <w:rPr>
          <w:rFonts w:ascii="Arial" w:hAnsi="Arial" w:cs="Arial"/>
          <w:b/>
          <w:bCs/>
          <w:sz w:val="24"/>
          <w:szCs w:val="24"/>
          <w:lang w:val="uk-UA"/>
        </w:rPr>
        <w:t xml:space="preserve">                            </w:t>
      </w:r>
    </w:p>
    <w:p w14:paraId="43EF48B7" w14:textId="77777777" w:rsidR="00F727AC" w:rsidRDefault="00F727AC" w:rsidP="00F727AC">
      <w:pPr>
        <w:rPr>
          <w:rFonts w:ascii="Arial" w:hAnsi="Arial" w:cs="Arial"/>
          <w:b/>
          <w:bCs/>
          <w:sz w:val="24"/>
          <w:szCs w:val="24"/>
          <w:lang w:val="uk-UA"/>
        </w:rPr>
      </w:pPr>
    </w:p>
    <w:p w14:paraId="4DC5725D" w14:textId="77777777" w:rsidR="00F727AC" w:rsidRDefault="00F727AC" w:rsidP="00F727AC">
      <w:pPr>
        <w:rPr>
          <w:rFonts w:ascii="Arial" w:hAnsi="Arial" w:cs="Arial"/>
          <w:b/>
          <w:bCs/>
          <w:sz w:val="24"/>
          <w:szCs w:val="24"/>
          <w:lang w:val="uk-UA"/>
        </w:rPr>
      </w:pPr>
    </w:p>
    <w:p w14:paraId="2AC14A7B" w14:textId="77777777" w:rsidR="00F727AC" w:rsidRDefault="00F727AC" w:rsidP="00F727AC">
      <w:pPr>
        <w:rPr>
          <w:rFonts w:ascii="Arial" w:hAnsi="Arial" w:cs="Arial"/>
          <w:b/>
          <w:bCs/>
          <w:sz w:val="24"/>
          <w:szCs w:val="24"/>
          <w:lang w:val="uk-UA"/>
        </w:rPr>
      </w:pPr>
    </w:p>
    <w:p w14:paraId="54530B5A" w14:textId="77777777" w:rsidR="00F727AC" w:rsidRDefault="00F727AC" w:rsidP="00F727AC">
      <w:pPr>
        <w:rPr>
          <w:rFonts w:ascii="Arial" w:hAnsi="Arial" w:cs="Arial"/>
          <w:b/>
          <w:bCs/>
          <w:sz w:val="24"/>
          <w:szCs w:val="24"/>
          <w:lang w:val="uk-UA"/>
        </w:rPr>
      </w:pPr>
    </w:p>
    <w:p w14:paraId="10E75E27" w14:textId="77777777" w:rsidR="00F727AC" w:rsidRDefault="00F727AC" w:rsidP="00F727AC">
      <w:pPr>
        <w:rPr>
          <w:rFonts w:ascii="Arial" w:hAnsi="Arial" w:cs="Arial"/>
          <w:b/>
          <w:bCs/>
          <w:sz w:val="24"/>
          <w:szCs w:val="24"/>
          <w:lang w:val="uk-UA"/>
        </w:rPr>
      </w:pPr>
    </w:p>
    <w:p w14:paraId="1713CB92" w14:textId="77777777" w:rsidR="00F727AC" w:rsidRDefault="00F727AC" w:rsidP="00F727AC">
      <w:pPr>
        <w:rPr>
          <w:rFonts w:ascii="Arial" w:hAnsi="Arial" w:cs="Arial"/>
          <w:b/>
          <w:bCs/>
          <w:sz w:val="24"/>
          <w:szCs w:val="24"/>
          <w:lang w:val="uk-UA"/>
        </w:rPr>
      </w:pPr>
    </w:p>
    <w:p w14:paraId="6D756BDD" w14:textId="77777777" w:rsidR="00F727AC" w:rsidRDefault="00F727AC" w:rsidP="00F727AC">
      <w:pPr>
        <w:rPr>
          <w:rFonts w:ascii="Arial" w:hAnsi="Arial" w:cs="Arial"/>
          <w:b/>
          <w:bCs/>
          <w:sz w:val="24"/>
          <w:szCs w:val="24"/>
          <w:lang w:val="uk-UA"/>
        </w:rPr>
      </w:pPr>
    </w:p>
    <w:p w14:paraId="1CAF6E48" w14:textId="77777777" w:rsidR="00F727AC" w:rsidRPr="002172CD" w:rsidRDefault="00F727AC" w:rsidP="002172CD">
      <w:pPr>
        <w:rPr>
          <w:rFonts w:ascii="Times New Roman" w:hAnsi="Times New Roman"/>
          <w:b/>
          <w:sz w:val="40"/>
          <w:szCs w:val="40"/>
          <w:lang w:val="uk-UA"/>
        </w:rPr>
      </w:pPr>
      <w:r w:rsidRPr="002172CD">
        <w:rPr>
          <w:rFonts w:ascii="Times New Roman" w:hAnsi="Times New Roman"/>
          <w:b/>
          <w:sz w:val="40"/>
          <w:szCs w:val="40"/>
          <w:lang w:val="uk-UA"/>
        </w:rPr>
        <w:lastRenderedPageBreak/>
        <w:t>Держбюджет 2022: освіта</w:t>
      </w:r>
    </w:p>
    <w:p w14:paraId="11267702" w14:textId="77777777" w:rsidR="00F727AC" w:rsidRPr="000970BA" w:rsidRDefault="00F727AC" w:rsidP="00F727AC">
      <w:pPr>
        <w:pStyle w:val="a6"/>
        <w:shd w:val="clear" w:color="auto" w:fill="FFFFFF"/>
        <w:spacing w:before="0" w:beforeAutospacing="0" w:after="0" w:afterAutospacing="0"/>
        <w:rPr>
          <w:rFonts w:ascii="Georgia" w:hAnsi="Georgia"/>
          <w:b/>
          <w:bCs/>
          <w:color w:val="333333"/>
          <w:sz w:val="27"/>
          <w:szCs w:val="27"/>
        </w:rPr>
      </w:pPr>
      <w:r w:rsidRPr="00DB3AED">
        <w:rPr>
          <w:rFonts w:ascii="Georgia" w:hAnsi="Georgia"/>
          <w:color w:val="333333"/>
          <w:sz w:val="27"/>
          <w:szCs w:val="27"/>
        </w:rPr>
        <w:t xml:space="preserve">      </w:t>
      </w:r>
    </w:p>
    <w:p w14:paraId="0BB039B5"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r w:rsidRPr="002172CD">
        <w:rPr>
          <w:rFonts w:ascii="Arial" w:eastAsia="Times New Roman" w:hAnsi="Arial" w:cs="Arial"/>
          <w:sz w:val="24"/>
          <w:szCs w:val="24"/>
          <w:lang w:eastAsia="ru-RU"/>
        </w:rPr>
        <w:t xml:space="preserve">           </w:t>
      </w:r>
      <w:r w:rsidRPr="002172CD">
        <w:rPr>
          <w:rFonts w:ascii="Times New Roman" w:eastAsia="Times New Roman" w:hAnsi="Times New Roman" w:cs="Arial"/>
          <w:sz w:val="28"/>
          <w:szCs w:val="28"/>
          <w:lang w:eastAsia="ru-RU"/>
        </w:rPr>
        <w:t xml:space="preserve">У Державному бюджеті на 2022 рік Міністерству освіти і науки України передбачено видатки обсягом 153,7 млрд грн, що на 14,4 млрд грн більше, ніж у 2021 році. </w:t>
      </w:r>
    </w:p>
    <w:p w14:paraId="02A28E27"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p>
    <w:p w14:paraId="313426E4"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val="uk-UA" w:eastAsia="ru-RU"/>
        </w:rPr>
        <w:t xml:space="preserve">       </w:t>
      </w:r>
      <w:r w:rsidRPr="002172CD">
        <w:rPr>
          <w:rFonts w:ascii="Times New Roman" w:eastAsia="Times New Roman" w:hAnsi="Times New Roman" w:cs="Arial"/>
          <w:sz w:val="28"/>
          <w:szCs w:val="28"/>
          <w:bdr w:val="none" w:sz="0" w:space="0" w:color="auto" w:frame="1"/>
          <w:lang w:eastAsia="ru-RU"/>
        </w:rPr>
        <w:t xml:space="preserve"> </w:t>
      </w:r>
      <w:r w:rsidRPr="002172CD">
        <w:rPr>
          <w:rFonts w:ascii="Times New Roman" w:eastAsia="Times New Roman" w:hAnsi="Times New Roman" w:cs="Arial"/>
          <w:sz w:val="28"/>
          <w:szCs w:val="28"/>
          <w:bdr w:val="none" w:sz="0" w:space="0" w:color="auto" w:frame="1"/>
          <w:lang w:val="uk-UA" w:eastAsia="ru-RU"/>
        </w:rPr>
        <w:t>З</w:t>
      </w:r>
      <w:r w:rsidRPr="002172CD">
        <w:rPr>
          <w:rFonts w:ascii="Times New Roman" w:eastAsia="Times New Roman" w:hAnsi="Times New Roman" w:cs="Arial"/>
          <w:sz w:val="28"/>
          <w:szCs w:val="28"/>
          <w:bdr w:val="none" w:sz="0" w:space="0" w:color="auto" w:frame="1"/>
          <w:lang w:eastAsia="ru-RU"/>
        </w:rPr>
        <w:t xml:space="preserve"> 1 січня 2022 року передбачено збільшення академічних стипендій у закладах професійної, фахової передвищої та вищої освіти. А також уперше буде надано субвенцію на забезпечення пожежної безпеки в школах у розмірі 1,50 млрд грн </w:t>
      </w:r>
    </w:p>
    <w:p w14:paraId="38C4BF90"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Загалом на субвенції для розвитку освіти передбачено 112,9 млрд грн (103,7 млрд грн у 2021-му).</w:t>
      </w:r>
    </w:p>
    <w:p w14:paraId="6EF5D3C5"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p>
    <w:p w14:paraId="67CA3250"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b/>
          <w:bCs/>
          <w:sz w:val="28"/>
          <w:szCs w:val="28"/>
          <w:lang w:eastAsia="ru-RU"/>
        </w:rPr>
      </w:pPr>
      <w:r w:rsidRPr="002172CD">
        <w:rPr>
          <w:rFonts w:ascii="Times New Roman" w:eastAsia="Times New Roman" w:hAnsi="Times New Roman" w:cs="Arial"/>
          <w:sz w:val="28"/>
          <w:szCs w:val="28"/>
          <w:bdr w:val="none" w:sz="0" w:space="0" w:color="auto" w:frame="1"/>
          <w:lang w:eastAsia="ru-RU"/>
        </w:rPr>
        <w:t xml:space="preserve">       </w:t>
      </w:r>
      <w:r w:rsidRPr="002172CD">
        <w:rPr>
          <w:rFonts w:ascii="Times New Roman" w:eastAsia="Times New Roman" w:hAnsi="Times New Roman" w:cs="Arial"/>
          <w:b/>
          <w:bCs/>
          <w:sz w:val="28"/>
          <w:szCs w:val="28"/>
          <w:bdr w:val="none" w:sz="0" w:space="0" w:color="auto" w:frame="1"/>
          <w:lang w:eastAsia="ru-RU"/>
        </w:rPr>
        <w:t xml:space="preserve">У 2022 </w:t>
      </w:r>
      <w:proofErr w:type="gramStart"/>
      <w:r w:rsidRPr="002172CD">
        <w:rPr>
          <w:rFonts w:ascii="Times New Roman" w:eastAsia="Times New Roman" w:hAnsi="Times New Roman" w:cs="Arial"/>
          <w:b/>
          <w:bCs/>
          <w:sz w:val="28"/>
          <w:szCs w:val="28"/>
          <w:bdr w:val="none" w:sz="0" w:space="0" w:color="auto" w:frame="1"/>
          <w:lang w:eastAsia="ru-RU"/>
        </w:rPr>
        <w:t>роц</w:t>
      </w:r>
      <w:r w:rsidRPr="002172CD">
        <w:rPr>
          <w:rFonts w:ascii="Times New Roman" w:eastAsia="Times New Roman" w:hAnsi="Times New Roman" w:cs="Arial"/>
          <w:b/>
          <w:bCs/>
          <w:sz w:val="28"/>
          <w:szCs w:val="28"/>
          <w:bdr w:val="none" w:sz="0" w:space="0" w:color="auto" w:frame="1"/>
          <w:lang w:val="uk-UA" w:eastAsia="ru-RU"/>
        </w:rPr>
        <w:t xml:space="preserve">і </w:t>
      </w:r>
      <w:r w:rsidRPr="002172CD">
        <w:rPr>
          <w:rFonts w:ascii="Times New Roman" w:eastAsia="Times New Roman" w:hAnsi="Times New Roman" w:cs="Arial"/>
          <w:b/>
          <w:bCs/>
          <w:sz w:val="28"/>
          <w:szCs w:val="28"/>
          <w:bdr w:val="none" w:sz="0" w:space="0" w:color="auto" w:frame="1"/>
          <w:lang w:eastAsia="ru-RU"/>
        </w:rPr>
        <w:t xml:space="preserve"> виділено</w:t>
      </w:r>
      <w:proofErr w:type="gramEnd"/>
      <w:r w:rsidRPr="002172CD">
        <w:rPr>
          <w:rFonts w:ascii="Times New Roman" w:eastAsia="Times New Roman" w:hAnsi="Times New Roman" w:cs="Arial"/>
          <w:b/>
          <w:bCs/>
          <w:sz w:val="28"/>
          <w:szCs w:val="28"/>
          <w:bdr w:val="none" w:sz="0" w:space="0" w:color="auto" w:frame="1"/>
          <w:lang w:eastAsia="ru-RU"/>
        </w:rPr>
        <w:t xml:space="preserve"> такі субвенції:</w:t>
      </w:r>
    </w:p>
    <w:p w14:paraId="52F909BE"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hAnsi="Times New Roman"/>
          <w:sz w:val="28"/>
          <w:szCs w:val="28"/>
        </w:rPr>
        <w:t>- Освітня субвенція з державного бюджету місцевим бюджетам запланована у розмірі 108 млрд грн</w:t>
      </w:r>
      <w:r w:rsidRPr="002172CD">
        <w:rPr>
          <w:rFonts w:ascii="Times New Roman" w:eastAsia="Times New Roman" w:hAnsi="Times New Roman" w:cs="Arial"/>
          <w:sz w:val="28"/>
          <w:szCs w:val="28"/>
          <w:lang w:eastAsia="ru-RU"/>
        </w:rPr>
        <w:t>;</w:t>
      </w:r>
    </w:p>
    <w:p w14:paraId="36F7A055"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eastAsia="ru-RU"/>
        </w:rPr>
        <w:t>- на розвиток НУШ – 1,57 млрд грн;</w:t>
      </w:r>
    </w:p>
    <w:p w14:paraId="54CE9C58"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на реалізацію програми "Спроможна школа для кращих результатів" – 1 млрд грн;</w:t>
      </w:r>
    </w:p>
    <w:p w14:paraId="1550B00B" w14:textId="77777777" w:rsidR="00F727AC" w:rsidRPr="002172CD" w:rsidRDefault="00F727AC" w:rsidP="002172CD">
      <w:pPr>
        <w:shd w:val="clear" w:color="auto" w:fill="FFFFFF"/>
        <w:spacing w:beforeAutospacing="1" w:after="0"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eastAsia="ru-RU"/>
        </w:rPr>
        <w:t>- на надання державної підтримки особам з ООП – 0,50 млрд грн;</w:t>
      </w:r>
    </w:p>
    <w:p w14:paraId="537E41D4"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на створення НПЦ професійної освіти – 0,25 млрд грн;</w:t>
      </w:r>
    </w:p>
    <w:p w14:paraId="2DB045D2" w14:textId="77777777" w:rsidR="00F727AC" w:rsidRPr="002172CD" w:rsidRDefault="00F727AC" w:rsidP="002172CD">
      <w:pPr>
        <w:shd w:val="clear" w:color="auto" w:fill="FFFFFF"/>
        <w:spacing w:beforeAutospacing="1" w:after="0" w:line="300" w:lineRule="atLeast"/>
        <w:jc w:val="both"/>
        <w:rPr>
          <w:rFonts w:ascii="Times New Roman" w:eastAsia="Times New Roman" w:hAnsi="Times New Roman" w:cs="Arial"/>
          <w:sz w:val="28"/>
          <w:szCs w:val="28"/>
          <w:bdr w:val="none" w:sz="0" w:space="0" w:color="auto" w:frame="1"/>
          <w:lang w:eastAsia="ru-RU"/>
        </w:rPr>
      </w:pPr>
      <w:r w:rsidRPr="002172CD">
        <w:rPr>
          <w:rFonts w:ascii="Times New Roman" w:eastAsia="Times New Roman" w:hAnsi="Times New Roman" w:cs="Arial"/>
          <w:sz w:val="28"/>
          <w:szCs w:val="28"/>
          <w:bdr w:val="none" w:sz="0" w:space="0" w:color="auto" w:frame="1"/>
          <w:lang w:eastAsia="ru-RU"/>
        </w:rPr>
        <w:t xml:space="preserve">- на забезпечення пожежної безпеки </w:t>
      </w:r>
      <w:proofErr w:type="gramStart"/>
      <w:r w:rsidRPr="002172CD">
        <w:rPr>
          <w:rFonts w:ascii="Times New Roman" w:eastAsia="Times New Roman" w:hAnsi="Times New Roman" w:cs="Arial"/>
          <w:sz w:val="28"/>
          <w:szCs w:val="28"/>
          <w:bdr w:val="none" w:sz="0" w:space="0" w:color="auto" w:frame="1"/>
          <w:lang w:eastAsia="ru-RU"/>
        </w:rPr>
        <w:t>у школах</w:t>
      </w:r>
      <w:proofErr w:type="gramEnd"/>
      <w:r w:rsidRPr="002172CD">
        <w:rPr>
          <w:rFonts w:ascii="Times New Roman" w:eastAsia="Times New Roman" w:hAnsi="Times New Roman" w:cs="Arial"/>
          <w:sz w:val="28"/>
          <w:szCs w:val="28"/>
          <w:bdr w:val="none" w:sz="0" w:space="0" w:color="auto" w:frame="1"/>
          <w:lang w:eastAsia="ru-RU"/>
        </w:rPr>
        <w:t xml:space="preserve"> – 1,50 млрд грн.</w:t>
      </w:r>
    </w:p>
    <w:p w14:paraId="5E736107" w14:textId="77777777" w:rsidR="00F727AC" w:rsidRPr="002172CD" w:rsidRDefault="00F727AC" w:rsidP="002172CD">
      <w:pPr>
        <w:pStyle w:val="a6"/>
        <w:shd w:val="clear" w:color="auto" w:fill="FFFFFF"/>
        <w:spacing w:before="0" w:beforeAutospacing="0" w:after="0" w:afterAutospacing="0"/>
        <w:jc w:val="both"/>
        <w:rPr>
          <w:sz w:val="28"/>
          <w:szCs w:val="28"/>
        </w:rPr>
      </w:pPr>
      <w:r w:rsidRPr="002172CD">
        <w:rPr>
          <w:sz w:val="28"/>
          <w:szCs w:val="28"/>
        </w:rPr>
        <w:t>- на допомогу сім'ям з дітьми, малозабезпеченим сім'ям, інвалідам з дитинства і дітям-інвалідам, виплату тимчасової допомоги дітям та допомоги на догляд за інвалідом І чи ІІ груп – 66 млрд грн.</w:t>
      </w:r>
    </w:p>
    <w:p w14:paraId="0B5E3E49" w14:textId="77777777" w:rsidR="00F727AC" w:rsidRPr="002172CD" w:rsidRDefault="00F727AC" w:rsidP="002172CD">
      <w:pPr>
        <w:pStyle w:val="a6"/>
        <w:shd w:val="clear" w:color="auto" w:fill="FFFFFF"/>
        <w:spacing w:before="0" w:beforeAutospacing="0" w:after="0" w:afterAutospacing="0"/>
        <w:jc w:val="both"/>
        <w:rPr>
          <w:sz w:val="28"/>
          <w:szCs w:val="28"/>
        </w:rPr>
      </w:pPr>
    </w:p>
    <w:p w14:paraId="398829D9" w14:textId="77777777" w:rsidR="00F727AC" w:rsidRPr="002172CD" w:rsidRDefault="00F727AC" w:rsidP="002172CD">
      <w:pPr>
        <w:pStyle w:val="a6"/>
        <w:shd w:val="clear" w:color="auto" w:fill="FFFFFF"/>
        <w:spacing w:before="0" w:beforeAutospacing="0" w:after="0" w:afterAutospacing="0"/>
        <w:jc w:val="both"/>
        <w:rPr>
          <w:sz w:val="28"/>
          <w:szCs w:val="28"/>
        </w:rPr>
      </w:pPr>
      <w:r w:rsidRPr="002172CD">
        <w:rPr>
          <w:sz w:val="28"/>
          <w:szCs w:val="28"/>
        </w:rPr>
        <w:t>- на житлові субсидії населенню у державному бюджеті на наступний рік закладено 38,4 млрд грн.</w:t>
      </w:r>
    </w:p>
    <w:p w14:paraId="37BA2D91" w14:textId="77777777" w:rsidR="00F727AC" w:rsidRPr="002172CD" w:rsidRDefault="00F727AC" w:rsidP="002172CD">
      <w:pPr>
        <w:shd w:val="clear" w:color="auto" w:fill="FFFFFF"/>
        <w:spacing w:beforeAutospacing="1" w:after="0" w:line="300" w:lineRule="atLeast"/>
        <w:jc w:val="both"/>
        <w:rPr>
          <w:rFonts w:ascii="Times New Roman" w:eastAsia="Times New Roman" w:hAnsi="Times New Roman" w:cs="Arial"/>
          <w:sz w:val="28"/>
          <w:szCs w:val="28"/>
          <w:lang w:eastAsia="ru-RU"/>
        </w:rPr>
      </w:pPr>
    </w:p>
    <w:p w14:paraId="7C72F54E"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b/>
          <w:bCs/>
          <w:sz w:val="28"/>
          <w:szCs w:val="28"/>
          <w:lang w:val="uk-UA" w:eastAsia="ru-RU"/>
        </w:rPr>
      </w:pPr>
      <w:r w:rsidRPr="002172CD">
        <w:rPr>
          <w:rFonts w:ascii="Times New Roman" w:eastAsia="Times New Roman" w:hAnsi="Times New Roman" w:cs="Arial"/>
          <w:b/>
          <w:bCs/>
          <w:sz w:val="28"/>
          <w:szCs w:val="28"/>
          <w:lang w:eastAsia="ru-RU"/>
        </w:rPr>
        <w:t>Державні видатки</w:t>
      </w:r>
      <w:r w:rsidRPr="002172CD">
        <w:rPr>
          <w:rFonts w:ascii="Times New Roman" w:eastAsia="Times New Roman" w:hAnsi="Times New Roman" w:cs="Arial"/>
          <w:b/>
          <w:bCs/>
          <w:sz w:val="28"/>
          <w:szCs w:val="28"/>
          <w:lang w:val="uk-UA" w:eastAsia="ru-RU"/>
        </w:rPr>
        <w:t>:</w:t>
      </w:r>
    </w:p>
    <w:p w14:paraId="6139A52C"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b/>
          <w:bCs/>
          <w:sz w:val="28"/>
          <w:szCs w:val="28"/>
          <w:lang w:eastAsia="ru-RU"/>
        </w:rPr>
      </w:pPr>
      <w:r w:rsidRPr="002172CD">
        <w:rPr>
          <w:rFonts w:ascii="Times New Roman" w:eastAsia="Times New Roman" w:hAnsi="Times New Roman" w:cs="Arial"/>
          <w:b/>
          <w:bCs/>
          <w:sz w:val="28"/>
          <w:szCs w:val="28"/>
          <w:lang w:eastAsia="ru-RU"/>
        </w:rPr>
        <w:t xml:space="preserve"> </w:t>
      </w:r>
    </w:p>
    <w:p w14:paraId="7B82824A" w14:textId="77777777" w:rsidR="00F727AC" w:rsidRPr="002172CD" w:rsidRDefault="00F727AC" w:rsidP="002172CD">
      <w:pPr>
        <w:pStyle w:val="a5"/>
        <w:numPr>
          <w:ilvl w:val="0"/>
          <w:numId w:val="18"/>
        </w:numPr>
        <w:shd w:val="clear" w:color="auto" w:fill="FFFFFF"/>
        <w:spacing w:after="0" w:line="240" w:lineRule="auto"/>
        <w:jc w:val="both"/>
        <w:textAlignment w:val="baseline"/>
        <w:rPr>
          <w:rFonts w:ascii="Times New Roman" w:eastAsia="Times New Roman" w:hAnsi="Times New Roman" w:cs="Arial"/>
          <w:sz w:val="28"/>
          <w:szCs w:val="28"/>
          <w:lang w:val="uk-UA" w:eastAsia="ru-RU"/>
        </w:rPr>
      </w:pPr>
      <w:r w:rsidRPr="002172CD">
        <w:rPr>
          <w:rFonts w:ascii="Times New Roman" w:eastAsia="Times New Roman" w:hAnsi="Times New Roman" w:cs="Arial"/>
          <w:sz w:val="28"/>
          <w:szCs w:val="28"/>
          <w:lang w:val="uk-UA" w:eastAsia="ru-RU"/>
        </w:rPr>
        <w:t xml:space="preserve">Підготовку кадрів закладами вищої, фахової передвищої освіти </w:t>
      </w:r>
    </w:p>
    <w:p w14:paraId="58CD5402"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40,9 млрд грн, </w:t>
      </w:r>
    </w:p>
    <w:p w14:paraId="581CA5C5" w14:textId="77777777" w:rsidR="00F727AC" w:rsidRPr="002172CD" w:rsidRDefault="00F727AC" w:rsidP="002172CD">
      <w:pPr>
        <w:shd w:val="clear" w:color="auto" w:fill="FFFFFF"/>
        <w:spacing w:after="0" w:line="240" w:lineRule="auto"/>
        <w:jc w:val="both"/>
        <w:textAlignment w:val="baseline"/>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eastAsia="ru-RU"/>
        </w:rPr>
        <w:t>Зокрема, передбачено кошти для: </w:t>
      </w:r>
    </w:p>
    <w:p w14:paraId="5E10569F"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підготовки кадрів закладами вищої та фахової передвищої освіти – 27,8 млрд грн;</w:t>
      </w:r>
    </w:p>
    <w:p w14:paraId="33D80CB8" w14:textId="77777777" w:rsidR="00F727AC" w:rsidRPr="002172CD" w:rsidRDefault="00F727AC" w:rsidP="002172CD">
      <w:pPr>
        <w:shd w:val="clear" w:color="auto" w:fill="FFFFFF"/>
        <w:spacing w:beforeAutospacing="1" w:after="0"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eastAsia="ru-RU"/>
        </w:rPr>
        <w:t>-виплат академічних стипендій – 5,14 млрд грн;</w:t>
      </w:r>
    </w:p>
    <w:p w14:paraId="026CCB76" w14:textId="77777777" w:rsidR="00F727AC" w:rsidRPr="002172CD" w:rsidRDefault="00F727AC" w:rsidP="002172CD">
      <w:pPr>
        <w:shd w:val="clear" w:color="auto" w:fill="FFFFFF"/>
        <w:spacing w:before="100" w:beforeAutospacing="1" w:after="75"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 забезпечення діяльності Національного фонду досліджень, грантової підтримки наукових досліджень і науково-технічних (експериментальних) досліджень – 0,83 млрд грн;</w:t>
      </w:r>
    </w:p>
    <w:p w14:paraId="22C60E77" w14:textId="77777777" w:rsidR="00F727AC" w:rsidRPr="002172CD" w:rsidRDefault="00F727AC" w:rsidP="002172CD">
      <w:pPr>
        <w:shd w:val="clear" w:color="auto" w:fill="FFFFFF"/>
        <w:spacing w:beforeAutospacing="1" w:after="0" w:line="300" w:lineRule="atLeast"/>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bdr w:val="none" w:sz="0" w:space="0" w:color="auto" w:frame="1"/>
          <w:lang w:eastAsia="ru-RU"/>
        </w:rPr>
        <w:t>- фонду розвитку закладів фахової передвищої та вищої освіти – 0,25 млрд грн.</w:t>
      </w:r>
    </w:p>
    <w:p w14:paraId="23259F3C"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val="uk-UA" w:eastAsia="ru-RU"/>
        </w:rPr>
      </w:pPr>
    </w:p>
    <w:p w14:paraId="755A8D85"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Державний бюджет на 2022 рік для бюджетів територіальних громад передбачає:</w:t>
      </w:r>
    </w:p>
    <w:p w14:paraId="2DF42785"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p w14:paraId="0A9CEB11"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val="uk-UA" w:eastAsia="ru-RU"/>
        </w:rPr>
      </w:pPr>
      <w:r w:rsidRPr="002172CD">
        <w:rPr>
          <w:rFonts w:ascii="Times New Roman" w:eastAsia="Times New Roman" w:hAnsi="Times New Roman" w:cs="Arial"/>
          <w:sz w:val="28"/>
          <w:szCs w:val="28"/>
          <w:lang w:val="uk-UA" w:eastAsia="ru-RU"/>
        </w:rPr>
        <w:t xml:space="preserve">         В рамках виконання</w:t>
      </w:r>
      <w:r w:rsidRPr="002172CD">
        <w:rPr>
          <w:rFonts w:ascii="Times New Roman" w:eastAsia="Times New Roman" w:hAnsi="Times New Roman" w:cs="Arial"/>
          <w:b/>
          <w:bCs/>
          <w:sz w:val="28"/>
          <w:szCs w:val="28"/>
          <w:lang w:eastAsia="ru-RU"/>
        </w:rPr>
        <w:t> </w:t>
      </w:r>
      <w:r w:rsidRPr="002172CD">
        <w:rPr>
          <w:rFonts w:ascii="Times New Roman" w:eastAsia="Times New Roman" w:hAnsi="Times New Roman" w:cs="Arial"/>
          <w:b/>
          <w:bCs/>
          <w:sz w:val="28"/>
          <w:szCs w:val="28"/>
          <w:lang w:val="uk-UA" w:eastAsia="ru-RU"/>
        </w:rPr>
        <w:t>Меморандуму</w:t>
      </w:r>
      <w:r w:rsidRPr="002172CD">
        <w:rPr>
          <w:rFonts w:ascii="Times New Roman" w:eastAsia="Times New Roman" w:hAnsi="Times New Roman" w:cs="Arial"/>
          <w:sz w:val="28"/>
          <w:szCs w:val="28"/>
          <w:lang w:eastAsia="ru-RU"/>
        </w:rPr>
        <w:t> </w:t>
      </w:r>
      <w:r w:rsidRPr="002172CD">
        <w:rPr>
          <w:rFonts w:ascii="Times New Roman" w:eastAsia="Times New Roman" w:hAnsi="Times New Roman" w:cs="Arial"/>
          <w:sz w:val="28"/>
          <w:szCs w:val="28"/>
          <w:lang w:val="uk-UA" w:eastAsia="ru-RU"/>
        </w:rPr>
        <w:t>про взаєморозуміння щодо врегулювання проблемних питань у сфері постачання теплової енергії та постачання гарячої води в опалювальному періоді 2021/2022 рр.:</w:t>
      </w:r>
    </w:p>
    <w:p w14:paraId="40F2A52C"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val="uk-UA" w:eastAsia="ru-RU"/>
        </w:rPr>
      </w:pPr>
      <w:r w:rsidRPr="002172CD">
        <w:rPr>
          <w:rFonts w:ascii="Times New Roman" w:eastAsia="Times New Roman" w:hAnsi="Times New Roman" w:cs="Arial"/>
          <w:b/>
          <w:bCs/>
          <w:sz w:val="28"/>
          <w:szCs w:val="28"/>
          <w:lang w:val="uk-UA" w:eastAsia="ru-RU"/>
        </w:rPr>
        <w:t>11 млрд грн</w:t>
      </w:r>
      <w:r w:rsidRPr="002172CD">
        <w:rPr>
          <w:rFonts w:ascii="Times New Roman" w:eastAsia="Times New Roman" w:hAnsi="Times New Roman" w:cs="Arial"/>
          <w:b/>
          <w:bCs/>
          <w:sz w:val="28"/>
          <w:szCs w:val="28"/>
          <w:lang w:eastAsia="ru-RU"/>
        </w:rPr>
        <w:t> </w:t>
      </w:r>
      <w:r w:rsidRPr="002172CD">
        <w:rPr>
          <w:rFonts w:ascii="Times New Roman" w:eastAsia="Times New Roman" w:hAnsi="Times New Roman" w:cs="Arial"/>
          <w:b/>
          <w:bCs/>
          <w:sz w:val="28"/>
          <w:szCs w:val="28"/>
          <w:lang w:val="uk-UA" w:eastAsia="ru-RU"/>
        </w:rPr>
        <w:t>– завдяки збільшенню на 2022 рік до 64% частки ПДФО, що зараховується до загального фонду відповідних</w:t>
      </w:r>
      <w:r w:rsidRPr="002172CD">
        <w:rPr>
          <w:rFonts w:ascii="Times New Roman" w:eastAsia="Times New Roman" w:hAnsi="Times New Roman" w:cs="Arial"/>
          <w:b/>
          <w:bCs/>
          <w:sz w:val="28"/>
          <w:szCs w:val="28"/>
          <w:lang w:eastAsia="ru-RU"/>
        </w:rPr>
        <w:t> </w:t>
      </w:r>
      <w:r w:rsidRPr="002172CD">
        <w:rPr>
          <w:rFonts w:ascii="Times New Roman" w:eastAsia="Times New Roman" w:hAnsi="Times New Roman" w:cs="Arial"/>
          <w:b/>
          <w:bCs/>
          <w:sz w:val="28"/>
          <w:szCs w:val="28"/>
          <w:lang w:val="uk-UA" w:eastAsia="ru-RU"/>
        </w:rPr>
        <w:t>бюджетів місцевого самоврядування</w:t>
      </w:r>
      <w:r w:rsidRPr="002172CD">
        <w:rPr>
          <w:rFonts w:ascii="Times New Roman" w:eastAsia="Times New Roman" w:hAnsi="Times New Roman" w:cs="Arial"/>
          <w:sz w:val="28"/>
          <w:szCs w:val="28"/>
          <w:lang w:eastAsia="ru-RU"/>
        </w:rPr>
        <w:t> </w:t>
      </w:r>
      <w:r w:rsidRPr="002172CD">
        <w:rPr>
          <w:rFonts w:ascii="Times New Roman" w:eastAsia="Times New Roman" w:hAnsi="Times New Roman" w:cs="Arial"/>
          <w:sz w:val="28"/>
          <w:szCs w:val="28"/>
          <w:lang w:val="uk-UA" w:eastAsia="ru-RU"/>
        </w:rPr>
        <w:t>за рахунок зменшення доходів загального фонду державного бюджету від цього податку;</w:t>
      </w:r>
    </w:p>
    <w:p w14:paraId="37B75317"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val="uk-UA" w:eastAsia="ru-RU"/>
        </w:rPr>
      </w:pPr>
    </w:p>
    <w:p w14:paraId="0EFB657C"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i/>
          <w:iCs/>
          <w:sz w:val="28"/>
          <w:szCs w:val="28"/>
          <w:u w:val="single"/>
          <w:lang w:eastAsia="ru-RU"/>
        </w:rPr>
        <w:t>Субвенції:</w:t>
      </w:r>
    </w:p>
    <w:p w14:paraId="5D710E80"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1,4 млрд грн - </w:t>
      </w:r>
      <w:r w:rsidRPr="002172CD">
        <w:rPr>
          <w:rFonts w:ascii="Times New Roman" w:eastAsia="Times New Roman" w:hAnsi="Times New Roman" w:cs="Arial"/>
          <w:sz w:val="28"/>
          <w:szCs w:val="28"/>
          <w:lang w:eastAsia="ru-RU"/>
        </w:rPr>
        <w:t>на реалізацію програми «Нова українська школа» (обсяг фінансування зберігається на рівні 2021 року)</w:t>
      </w:r>
    </w:p>
    <w:p w14:paraId="55463724"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1,4 млрд грн - </w:t>
      </w:r>
      <w:r w:rsidRPr="002172CD">
        <w:rPr>
          <w:rFonts w:ascii="Times New Roman" w:eastAsia="Times New Roman" w:hAnsi="Times New Roman" w:cs="Arial"/>
          <w:sz w:val="28"/>
          <w:szCs w:val="28"/>
          <w:lang w:eastAsia="ru-RU"/>
        </w:rPr>
        <w:t>«Спроможна школа для кращих результатів» (на 300 млн грн або на 30% більше, ніж у 2021 році)</w:t>
      </w:r>
    </w:p>
    <w:p w14:paraId="01BE3679"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504 млн грн</w:t>
      </w:r>
      <w:r w:rsidRPr="002172CD">
        <w:rPr>
          <w:rFonts w:ascii="Times New Roman" w:eastAsia="Times New Roman" w:hAnsi="Times New Roman" w:cs="Arial"/>
          <w:sz w:val="28"/>
          <w:szCs w:val="28"/>
          <w:lang w:eastAsia="ru-RU"/>
        </w:rPr>
        <w:t> - на надання підтримки особам з особливими освітніми потребами (обсяг фінансування зберігається на рівні 2021 року);</w:t>
      </w:r>
    </w:p>
    <w:p w14:paraId="793C83FD"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250 млн грн - </w:t>
      </w:r>
      <w:r w:rsidRPr="002172CD">
        <w:rPr>
          <w:rFonts w:ascii="Times New Roman" w:eastAsia="Times New Roman" w:hAnsi="Times New Roman" w:cs="Arial"/>
          <w:sz w:val="28"/>
          <w:szCs w:val="28"/>
          <w:lang w:eastAsia="ru-RU"/>
        </w:rPr>
        <w:t xml:space="preserve">на створення центрів профтехосвіти (на 100 млн </w:t>
      </w:r>
      <w:proofErr w:type="gramStart"/>
      <w:r w:rsidRPr="002172CD">
        <w:rPr>
          <w:rFonts w:ascii="Times New Roman" w:eastAsia="Times New Roman" w:hAnsi="Times New Roman" w:cs="Arial"/>
          <w:sz w:val="28"/>
          <w:szCs w:val="28"/>
          <w:lang w:eastAsia="ru-RU"/>
        </w:rPr>
        <w:t>грн  або</w:t>
      </w:r>
      <w:proofErr w:type="gramEnd"/>
      <w:r w:rsidRPr="002172CD">
        <w:rPr>
          <w:rFonts w:ascii="Times New Roman" w:eastAsia="Times New Roman" w:hAnsi="Times New Roman" w:cs="Arial"/>
          <w:sz w:val="28"/>
          <w:szCs w:val="28"/>
          <w:lang w:eastAsia="ru-RU"/>
        </w:rPr>
        <w:t xml:space="preserve"> на 67% більше, ніж у 2021 році)</w:t>
      </w:r>
    </w:p>
    <w:p w14:paraId="21A07E6B"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1,8 млрд грн - </w:t>
      </w:r>
      <w:r w:rsidRPr="002172CD">
        <w:rPr>
          <w:rFonts w:ascii="Times New Roman" w:eastAsia="Times New Roman" w:hAnsi="Times New Roman" w:cs="Arial"/>
          <w:sz w:val="28"/>
          <w:szCs w:val="28"/>
          <w:lang w:eastAsia="ru-RU"/>
        </w:rPr>
        <w:t> на збереження пам'яток культурної спадщини.</w:t>
      </w:r>
    </w:p>
    <w:p w14:paraId="251EA2DE"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i/>
          <w:iCs/>
          <w:sz w:val="28"/>
          <w:szCs w:val="28"/>
          <w:u w:val="single"/>
          <w:lang w:eastAsia="ru-RU"/>
        </w:rPr>
        <w:t>Нові субвенції:</w:t>
      </w:r>
    </w:p>
    <w:p w14:paraId="235AE9E1"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 xml:space="preserve">1,5 млрд </w:t>
      </w:r>
      <w:proofErr w:type="gramStart"/>
      <w:r w:rsidRPr="002172CD">
        <w:rPr>
          <w:rFonts w:ascii="Times New Roman" w:eastAsia="Times New Roman" w:hAnsi="Times New Roman" w:cs="Arial"/>
          <w:b/>
          <w:bCs/>
          <w:sz w:val="28"/>
          <w:szCs w:val="28"/>
          <w:lang w:eastAsia="ru-RU"/>
        </w:rPr>
        <w:t>грн  -</w:t>
      </w:r>
      <w:proofErr w:type="gramEnd"/>
      <w:r w:rsidRPr="002172CD">
        <w:rPr>
          <w:rFonts w:ascii="Times New Roman" w:eastAsia="Times New Roman" w:hAnsi="Times New Roman" w:cs="Arial"/>
          <w:b/>
          <w:bCs/>
          <w:sz w:val="28"/>
          <w:szCs w:val="28"/>
          <w:lang w:eastAsia="ru-RU"/>
        </w:rPr>
        <w:t> </w:t>
      </w:r>
      <w:r w:rsidRPr="002172CD">
        <w:rPr>
          <w:rFonts w:ascii="Times New Roman" w:eastAsia="Times New Roman" w:hAnsi="Times New Roman" w:cs="Arial"/>
          <w:sz w:val="28"/>
          <w:szCs w:val="28"/>
          <w:lang w:eastAsia="ru-RU"/>
        </w:rPr>
        <w:t>на реалізацію реформи шкільного харчування</w:t>
      </w:r>
    </w:p>
    <w:p w14:paraId="71CB1E4C" w14:textId="77777777" w:rsidR="00F727AC" w:rsidRPr="002172CD" w:rsidRDefault="00F727AC" w:rsidP="002172CD">
      <w:pPr>
        <w:shd w:val="clear" w:color="auto" w:fill="FFFFFF"/>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b/>
          <w:bCs/>
          <w:sz w:val="28"/>
          <w:szCs w:val="28"/>
          <w:lang w:eastAsia="ru-RU"/>
        </w:rPr>
        <w:t>1,5 млрд грн - </w:t>
      </w:r>
      <w:r w:rsidRPr="002172CD">
        <w:rPr>
          <w:rFonts w:ascii="Times New Roman" w:eastAsia="Times New Roman" w:hAnsi="Times New Roman" w:cs="Arial"/>
          <w:sz w:val="28"/>
          <w:szCs w:val="28"/>
          <w:lang w:eastAsia="ru-RU"/>
        </w:rPr>
        <w:t>на пожежну безпеку  </w:t>
      </w:r>
    </w:p>
    <w:p w14:paraId="18564758"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val="uk-UA" w:eastAsia="ru-RU"/>
        </w:rPr>
      </w:pPr>
    </w:p>
    <w:p w14:paraId="40FBA6A7" w14:textId="5A4B36EA" w:rsidR="00F727AC" w:rsidRPr="002172CD" w:rsidRDefault="00F727AC" w:rsidP="002172CD">
      <w:pPr>
        <w:pStyle w:val="a6"/>
        <w:shd w:val="clear" w:color="auto" w:fill="FFFFFF"/>
        <w:spacing w:before="0" w:beforeAutospacing="0" w:after="0" w:afterAutospacing="0"/>
        <w:jc w:val="both"/>
        <w:rPr>
          <w:sz w:val="28"/>
          <w:szCs w:val="28"/>
        </w:rPr>
      </w:pPr>
      <w:r w:rsidRPr="002172CD">
        <w:rPr>
          <w:sz w:val="28"/>
          <w:szCs w:val="28"/>
          <w:lang w:val="uk-UA"/>
        </w:rPr>
        <w:t xml:space="preserve">      </w:t>
      </w:r>
      <w:r w:rsidR="002F2ADF" w:rsidRPr="002F2ADF">
        <w:rPr>
          <w:sz w:val="28"/>
          <w:szCs w:val="28"/>
        </w:rPr>
        <w:t xml:space="preserve"> </w:t>
      </w:r>
      <w:r w:rsidRPr="002172CD">
        <w:rPr>
          <w:sz w:val="28"/>
          <w:szCs w:val="28"/>
        </w:rPr>
        <w:t>Найбільшу увагу у фінансуванні приділено питанням соціального напряму. Зокрема, у сфері охорони здоров'я 157,3 млрд грн передбачено на реалізацію програми державних гарантій медичного обслуговування населення, 4,3 млрд грн – на бюджетну програму «Громадське здоров'я та заходи боротьби з епідеміями», 2,6 млрд грн – на проведення вакцинації населення від COVID-19.</w:t>
      </w:r>
    </w:p>
    <w:p w14:paraId="11352A8A"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val="uk-UA" w:eastAsia="ru-RU"/>
        </w:rPr>
      </w:pPr>
    </w:p>
    <w:p w14:paraId="3FADA9C1"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eastAsia="ru-RU"/>
        </w:rPr>
      </w:pPr>
      <w:r w:rsidRPr="002172CD">
        <w:rPr>
          <w:rFonts w:ascii="Times New Roman" w:eastAsia="Times New Roman" w:hAnsi="Times New Roman" w:cs="Arial"/>
          <w:b/>
          <w:bCs/>
          <w:sz w:val="28"/>
          <w:szCs w:val="28"/>
          <w:shd w:val="clear" w:color="auto" w:fill="FFFFFF"/>
          <w:lang w:val="uk-UA" w:eastAsia="ru-RU"/>
        </w:rPr>
        <w:t xml:space="preserve">         </w:t>
      </w:r>
      <w:r w:rsidRPr="002172CD">
        <w:rPr>
          <w:rFonts w:ascii="Times New Roman" w:eastAsia="Times New Roman" w:hAnsi="Times New Roman" w:cs="Arial"/>
          <w:b/>
          <w:bCs/>
          <w:sz w:val="28"/>
          <w:szCs w:val="28"/>
          <w:shd w:val="clear" w:color="auto" w:fill="FFFFFF"/>
          <w:lang w:eastAsia="ru-RU"/>
        </w:rPr>
        <w:t>Прожитковий мінімум на 2022 рік</w:t>
      </w:r>
    </w:p>
    <w:p w14:paraId="04561EBE"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eastAsia="ru-RU"/>
        </w:rPr>
      </w:pPr>
    </w:p>
    <w:p w14:paraId="76E61964" w14:textId="77777777" w:rsidR="00F727AC" w:rsidRPr="002172CD" w:rsidRDefault="00F727AC" w:rsidP="002172CD">
      <w:pPr>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 xml:space="preserve">Прожитковий мінімум – це показник, який використовується для розрахунку різних соцвиплат та в нарахуванні податку на доходи фізичних осіб. </w:t>
      </w:r>
    </w:p>
    <w:tbl>
      <w:tblPr>
        <w:tblpPr w:leftFromText="180" w:rightFromText="180" w:vertAnchor="text" w:tblpX="106" w:tblpY="1741"/>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127"/>
        <w:gridCol w:w="2126"/>
        <w:gridCol w:w="2307"/>
      </w:tblGrid>
      <w:tr w:rsidR="002172CD" w:rsidRPr="002172CD" w14:paraId="72930B10" w14:textId="77777777" w:rsidTr="00051113">
        <w:trPr>
          <w:trHeight w:val="558"/>
        </w:trPr>
        <w:tc>
          <w:tcPr>
            <w:tcW w:w="2830" w:type="dxa"/>
          </w:tcPr>
          <w:p w14:paraId="7468FE45"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lastRenderedPageBreak/>
              <w:t>Період 2022 р.</w:t>
            </w:r>
          </w:p>
        </w:tc>
        <w:tc>
          <w:tcPr>
            <w:tcW w:w="2127" w:type="dxa"/>
          </w:tcPr>
          <w:p w14:paraId="7AEFA176"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Січень-червень</w:t>
            </w:r>
          </w:p>
        </w:tc>
        <w:tc>
          <w:tcPr>
            <w:tcW w:w="2126" w:type="dxa"/>
          </w:tcPr>
          <w:p w14:paraId="56122A92"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Липень-листопад</w:t>
            </w:r>
          </w:p>
        </w:tc>
        <w:tc>
          <w:tcPr>
            <w:tcW w:w="2307" w:type="dxa"/>
          </w:tcPr>
          <w:p w14:paraId="11F802E0"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Грудень  </w:t>
            </w:r>
          </w:p>
        </w:tc>
      </w:tr>
      <w:tr w:rsidR="002172CD" w:rsidRPr="002172CD" w14:paraId="112EE6C8" w14:textId="77777777" w:rsidTr="00051113">
        <w:trPr>
          <w:trHeight w:val="390"/>
        </w:trPr>
        <w:tc>
          <w:tcPr>
            <w:tcW w:w="2830" w:type="dxa"/>
          </w:tcPr>
          <w:p w14:paraId="0E1C4DCA"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Працездатні особи</w:t>
            </w:r>
          </w:p>
        </w:tc>
        <w:tc>
          <w:tcPr>
            <w:tcW w:w="2127" w:type="dxa"/>
          </w:tcPr>
          <w:p w14:paraId="6EE1044A"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2481</w:t>
            </w:r>
          </w:p>
        </w:tc>
        <w:tc>
          <w:tcPr>
            <w:tcW w:w="2126" w:type="dxa"/>
          </w:tcPr>
          <w:p w14:paraId="496E76C8"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2600</w:t>
            </w:r>
          </w:p>
        </w:tc>
        <w:tc>
          <w:tcPr>
            <w:tcW w:w="2307" w:type="dxa"/>
          </w:tcPr>
          <w:p w14:paraId="2DCF9FB6"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2684</w:t>
            </w:r>
          </w:p>
        </w:tc>
      </w:tr>
      <w:tr w:rsidR="002172CD" w:rsidRPr="002172CD" w14:paraId="1855520E" w14:textId="77777777" w:rsidTr="00051113">
        <w:trPr>
          <w:trHeight w:val="405"/>
        </w:trPr>
        <w:tc>
          <w:tcPr>
            <w:tcW w:w="2830" w:type="dxa"/>
          </w:tcPr>
          <w:p w14:paraId="4F583C14"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Діти віком до 6 років</w:t>
            </w:r>
          </w:p>
        </w:tc>
        <w:tc>
          <w:tcPr>
            <w:tcW w:w="2127" w:type="dxa"/>
          </w:tcPr>
          <w:p w14:paraId="0705B8AA"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2100</w:t>
            </w:r>
          </w:p>
        </w:tc>
        <w:tc>
          <w:tcPr>
            <w:tcW w:w="2126" w:type="dxa"/>
          </w:tcPr>
          <w:p w14:paraId="018A0CBB"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2201</w:t>
            </w:r>
          </w:p>
        </w:tc>
        <w:tc>
          <w:tcPr>
            <w:tcW w:w="2307" w:type="dxa"/>
          </w:tcPr>
          <w:p w14:paraId="2817138A"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2272</w:t>
            </w:r>
          </w:p>
        </w:tc>
      </w:tr>
      <w:tr w:rsidR="002172CD" w:rsidRPr="002172CD" w14:paraId="176F5ED9" w14:textId="77777777" w:rsidTr="00051113">
        <w:trPr>
          <w:trHeight w:val="285"/>
        </w:trPr>
        <w:tc>
          <w:tcPr>
            <w:tcW w:w="2830" w:type="dxa"/>
          </w:tcPr>
          <w:p w14:paraId="1C39958D"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Діти  6–18 років</w:t>
            </w:r>
          </w:p>
        </w:tc>
        <w:tc>
          <w:tcPr>
            <w:tcW w:w="2127" w:type="dxa"/>
          </w:tcPr>
          <w:p w14:paraId="682B15BA"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2618</w:t>
            </w:r>
          </w:p>
        </w:tc>
        <w:tc>
          <w:tcPr>
            <w:tcW w:w="2126" w:type="dxa"/>
          </w:tcPr>
          <w:p w14:paraId="57ED7E69"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2744</w:t>
            </w:r>
          </w:p>
        </w:tc>
        <w:tc>
          <w:tcPr>
            <w:tcW w:w="2307" w:type="dxa"/>
          </w:tcPr>
          <w:p w14:paraId="4D1771A3"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2833</w:t>
            </w:r>
          </w:p>
        </w:tc>
      </w:tr>
      <w:tr w:rsidR="002172CD" w:rsidRPr="002172CD" w14:paraId="78EFB3DA" w14:textId="77777777" w:rsidTr="00051113">
        <w:trPr>
          <w:trHeight w:val="255"/>
        </w:trPr>
        <w:tc>
          <w:tcPr>
            <w:tcW w:w="2830" w:type="dxa"/>
          </w:tcPr>
          <w:p w14:paraId="26965C23"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Особи, які втратили</w:t>
            </w:r>
          </w:p>
          <w:p w14:paraId="7159721E"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працездатність</w:t>
            </w:r>
          </w:p>
        </w:tc>
        <w:tc>
          <w:tcPr>
            <w:tcW w:w="2127" w:type="dxa"/>
          </w:tcPr>
          <w:p w14:paraId="0F7BED13"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1934</w:t>
            </w:r>
          </w:p>
        </w:tc>
        <w:tc>
          <w:tcPr>
            <w:tcW w:w="2126" w:type="dxa"/>
          </w:tcPr>
          <w:p w14:paraId="2042B544"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2027</w:t>
            </w:r>
          </w:p>
        </w:tc>
        <w:tc>
          <w:tcPr>
            <w:tcW w:w="2307" w:type="dxa"/>
          </w:tcPr>
          <w:p w14:paraId="3A30B07E"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2093</w:t>
            </w:r>
          </w:p>
        </w:tc>
      </w:tr>
      <w:tr w:rsidR="002172CD" w:rsidRPr="002172CD" w14:paraId="72EBE10F" w14:textId="77777777" w:rsidTr="00051113">
        <w:trPr>
          <w:trHeight w:val="188"/>
        </w:trPr>
        <w:tc>
          <w:tcPr>
            <w:tcW w:w="2830" w:type="dxa"/>
          </w:tcPr>
          <w:p w14:paraId="1ED3A97C"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Загальний показник</w:t>
            </w:r>
          </w:p>
        </w:tc>
        <w:tc>
          <w:tcPr>
            <w:tcW w:w="2127" w:type="dxa"/>
          </w:tcPr>
          <w:p w14:paraId="3919B41E"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2393</w:t>
            </w:r>
          </w:p>
        </w:tc>
        <w:tc>
          <w:tcPr>
            <w:tcW w:w="2126" w:type="dxa"/>
          </w:tcPr>
          <w:p w14:paraId="2A1FB3F9"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2508</w:t>
            </w:r>
          </w:p>
        </w:tc>
        <w:tc>
          <w:tcPr>
            <w:tcW w:w="2307" w:type="dxa"/>
          </w:tcPr>
          <w:p w14:paraId="1D481F77" w14:textId="77777777" w:rsidR="00F727AC" w:rsidRPr="002172CD" w:rsidRDefault="00F727AC" w:rsidP="002172CD">
            <w:pPr>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2589</w:t>
            </w:r>
          </w:p>
        </w:tc>
      </w:tr>
      <w:tr w:rsidR="002172CD" w:rsidRPr="002172CD" w14:paraId="74AD9417" w14:textId="77777777" w:rsidTr="00051113">
        <w:trPr>
          <w:trHeight w:val="255"/>
        </w:trPr>
        <w:tc>
          <w:tcPr>
            <w:tcW w:w="9390" w:type="dxa"/>
            <w:gridSpan w:val="4"/>
          </w:tcPr>
          <w:p w14:paraId="5E25EB91"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eastAsia="ru-RU"/>
              </w:rPr>
              <w:t xml:space="preserve">Окрім наведених у Законі про держбюджет 2022 з’явилися ще особливі прожиткові мінімуми для розрахунку окладів: </w:t>
            </w:r>
          </w:p>
          <w:p w14:paraId="6FCB01E6" w14:textId="77777777" w:rsidR="00F727AC" w:rsidRPr="002172CD" w:rsidRDefault="00F727AC" w:rsidP="002172CD">
            <w:pPr>
              <w:pStyle w:val="a6"/>
              <w:shd w:val="clear" w:color="auto" w:fill="FFFFFF"/>
              <w:jc w:val="both"/>
              <w:rPr>
                <w:rFonts w:cs="Arial"/>
                <w:sz w:val="28"/>
                <w:szCs w:val="28"/>
              </w:rPr>
            </w:pPr>
            <w:r w:rsidRPr="002172CD">
              <w:rPr>
                <w:rFonts w:cs="Arial"/>
                <w:sz w:val="28"/>
                <w:szCs w:val="28"/>
              </w:rPr>
              <w:t>-працездатних осіб, який застосовується для визначення базового розміру посадового окладу судді: з 1 січня 2022 року – 2102 гривні;</w:t>
            </w:r>
          </w:p>
          <w:p w14:paraId="5A14C7CB" w14:textId="77777777" w:rsidR="00F727AC" w:rsidRPr="002172CD" w:rsidRDefault="00F727AC" w:rsidP="002172CD">
            <w:pPr>
              <w:pStyle w:val="a6"/>
              <w:shd w:val="clear" w:color="auto" w:fill="FFFFFF"/>
              <w:jc w:val="both"/>
              <w:rPr>
                <w:rFonts w:cs="Arial"/>
                <w:sz w:val="28"/>
                <w:szCs w:val="28"/>
              </w:rPr>
            </w:pPr>
            <w:r w:rsidRPr="002172CD">
              <w:rPr>
                <w:rFonts w:cs="Arial"/>
                <w:sz w:val="28"/>
                <w:szCs w:val="28"/>
              </w:rPr>
              <w:t xml:space="preserve">-працездатних осіб, який застосовується для визначення посадових окладів працівникам інших державних органів, оплата праці яких регулюється спеціальними законами: з 1 січня 2022 року </w:t>
            </w:r>
            <w:proofErr w:type="gramStart"/>
            <w:r w:rsidRPr="002172CD">
              <w:rPr>
                <w:rFonts w:cs="Arial"/>
                <w:sz w:val="28"/>
                <w:szCs w:val="28"/>
              </w:rPr>
              <w:t>–  2102</w:t>
            </w:r>
            <w:proofErr w:type="gramEnd"/>
            <w:r w:rsidRPr="002172CD">
              <w:rPr>
                <w:rFonts w:cs="Arial"/>
                <w:sz w:val="28"/>
                <w:szCs w:val="28"/>
              </w:rPr>
              <w:t xml:space="preserve"> гривні;</w:t>
            </w:r>
          </w:p>
          <w:p w14:paraId="6A419EAB" w14:textId="77777777" w:rsidR="00F727AC" w:rsidRPr="002172CD" w:rsidRDefault="00F727AC" w:rsidP="002172CD">
            <w:pPr>
              <w:pStyle w:val="a6"/>
              <w:shd w:val="clear" w:color="auto" w:fill="FFFFFF"/>
              <w:jc w:val="both"/>
              <w:rPr>
                <w:rFonts w:cs="Arial"/>
                <w:sz w:val="28"/>
                <w:szCs w:val="28"/>
              </w:rPr>
            </w:pPr>
            <w:r w:rsidRPr="002172CD">
              <w:rPr>
                <w:rFonts w:cs="Arial"/>
                <w:sz w:val="28"/>
                <w:szCs w:val="28"/>
              </w:rPr>
              <w:t xml:space="preserve">-працездатних осіб, який застосовується для визначення посадового окладу прокурора окружної прокуратури: з 1 січня 2022 </w:t>
            </w:r>
            <w:proofErr w:type="gramStart"/>
            <w:r w:rsidRPr="002172CD">
              <w:rPr>
                <w:rFonts w:cs="Arial"/>
                <w:sz w:val="28"/>
                <w:szCs w:val="28"/>
              </w:rPr>
              <w:t>–  1600</w:t>
            </w:r>
            <w:proofErr w:type="gramEnd"/>
            <w:r w:rsidRPr="002172CD">
              <w:rPr>
                <w:rFonts w:cs="Arial"/>
                <w:sz w:val="28"/>
                <w:szCs w:val="28"/>
              </w:rPr>
              <w:t xml:space="preserve"> гривень;</w:t>
            </w:r>
          </w:p>
          <w:p w14:paraId="727103D9"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tc>
      </w:tr>
    </w:tbl>
    <w:p w14:paraId="421724BA" w14:textId="77777777" w:rsidR="00F727AC" w:rsidRPr="002172CD" w:rsidRDefault="00F727AC" w:rsidP="002172CD">
      <w:pPr>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Прожитковий мінімум з 1 січня 2022 у Закон</w:t>
      </w:r>
      <w:r w:rsidRPr="002172CD">
        <w:rPr>
          <w:rFonts w:ascii="Times New Roman" w:eastAsia="Times New Roman" w:hAnsi="Times New Roman" w:cs="Arial"/>
          <w:sz w:val="28"/>
          <w:szCs w:val="28"/>
          <w:shd w:val="clear" w:color="auto" w:fill="FFFFFF"/>
          <w:lang w:val="uk-UA" w:eastAsia="ru-RU"/>
        </w:rPr>
        <w:t>і</w:t>
      </w:r>
      <w:r w:rsidRPr="002172CD">
        <w:rPr>
          <w:rFonts w:ascii="Times New Roman" w:eastAsia="Times New Roman" w:hAnsi="Times New Roman" w:cs="Arial"/>
          <w:sz w:val="28"/>
          <w:szCs w:val="28"/>
          <w:shd w:val="clear" w:color="auto" w:fill="FFFFFF"/>
          <w:lang w:eastAsia="ru-RU"/>
        </w:rPr>
        <w:t xml:space="preserve"> про держбюджет на 2022 рік закладено наступні розміри прожиткового мінімуму:</w:t>
      </w:r>
    </w:p>
    <w:p w14:paraId="0CE8BC7B"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p>
    <w:p w14:paraId="5793640B"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p>
    <w:p w14:paraId="4C71DE06"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Економічно «прожитковий» мінімум наразі втратив той сенс, який закладений у цей термін. Він уже давно не «прожитковий». Це просто умовна</w:t>
      </w:r>
    </w:p>
    <w:p w14:paraId="475F78D3"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eastAsia="ru-RU"/>
        </w:rPr>
        <w:t xml:space="preserve">цифра, до якої прив’язаний розрахунок різних соціальних виплат, пільг, суми єдиного податку (1 група). Як виявилося, ще й прив’язку мають оклади суддів, прокурорів, тому їх дещо планують у 2022 обмежити шляхом введення особливих прожиткових мінімумів, які дещо менші за звичайний. </w:t>
      </w:r>
    </w:p>
    <w:p w14:paraId="34AB1F07"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p>
    <w:p w14:paraId="50F97581" w14:textId="77777777" w:rsidR="00F727AC" w:rsidRPr="002172CD" w:rsidRDefault="00F727AC" w:rsidP="002172CD">
      <w:pPr>
        <w:spacing w:after="0" w:line="240" w:lineRule="auto"/>
        <w:jc w:val="both"/>
        <w:rPr>
          <w:rFonts w:ascii="Times New Roman" w:eastAsia="Times New Roman" w:hAnsi="Times New Roman" w:cs="Arial"/>
          <w:b/>
          <w:bCs/>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b/>
          <w:bCs/>
          <w:sz w:val="28"/>
          <w:szCs w:val="28"/>
          <w:shd w:val="clear" w:color="auto" w:fill="FFFFFF"/>
          <w:lang w:eastAsia="ru-RU"/>
        </w:rPr>
        <w:t>Прожитковий мінімум: визначення</w:t>
      </w:r>
    </w:p>
    <w:p w14:paraId="0D1DB985"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p w14:paraId="4862ED1F"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    Часто бухгалтери-початківці та особи далекі від бухгалтерії плутають прожитковий мінімум та мінімальну зарплату – це зовсім різне. </w:t>
      </w:r>
    </w:p>
    <w:p w14:paraId="162F94E2"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     Так, з 1 січня 2022 року </w:t>
      </w:r>
      <w:r w:rsidRPr="002172CD">
        <w:rPr>
          <w:rFonts w:ascii="Times New Roman" w:eastAsia="Times New Roman" w:hAnsi="Times New Roman" w:cs="Arial"/>
          <w:b/>
          <w:bCs/>
          <w:sz w:val="28"/>
          <w:szCs w:val="28"/>
          <w:shd w:val="clear" w:color="auto" w:fill="FFFFFF"/>
          <w:lang w:val="uk-UA" w:eastAsia="ru-RU"/>
        </w:rPr>
        <w:t>мінімальна зарплата</w:t>
      </w:r>
      <w:r w:rsidRPr="002172CD">
        <w:rPr>
          <w:rFonts w:ascii="Times New Roman" w:eastAsia="Times New Roman" w:hAnsi="Times New Roman" w:cs="Arial"/>
          <w:sz w:val="28"/>
          <w:szCs w:val="28"/>
          <w:shd w:val="clear" w:color="auto" w:fill="FFFFFF"/>
          <w:lang w:val="uk-UA" w:eastAsia="ru-RU"/>
        </w:rPr>
        <w:t xml:space="preserve"> становитиме 6500 грн, що суттєво більше цифри прожиткового мінімуму для працездатної особи, </w:t>
      </w:r>
    </w:p>
    <w:p w14:paraId="3A6F54AE" w14:textId="7366D5DF"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з 1 жовтня  – 6700 грн.</w:t>
      </w:r>
      <w:r w:rsidR="002172CD">
        <w:rPr>
          <w:rFonts w:ascii="Times New Roman" w:eastAsia="Times New Roman" w:hAnsi="Times New Roman" w:cs="Arial"/>
          <w:sz w:val="28"/>
          <w:szCs w:val="28"/>
          <w:shd w:val="clear" w:color="auto" w:fill="FFFFFF"/>
          <w:lang w:val="uk-UA" w:eastAsia="ru-RU"/>
        </w:rPr>
        <w:t>; в погодинному  розмірі</w:t>
      </w:r>
      <w:r w:rsidRPr="002172CD">
        <w:rPr>
          <w:rFonts w:ascii="Times New Roman" w:eastAsia="Times New Roman" w:hAnsi="Times New Roman" w:cs="Arial"/>
          <w:sz w:val="28"/>
          <w:szCs w:val="28"/>
          <w:shd w:val="clear" w:color="auto" w:fill="FFFFFF"/>
          <w:lang w:val="uk-UA" w:eastAsia="ru-RU"/>
        </w:rPr>
        <w:t xml:space="preserve">: з 1 січня – 39,26 грн, </w:t>
      </w:r>
    </w:p>
    <w:p w14:paraId="5C1061FD" w14:textId="278CC3A3"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 1 жовтня – 40,46грн. </w:t>
      </w:r>
    </w:p>
    <w:p w14:paraId="7B8C0B63"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p>
    <w:p w14:paraId="469DC50F"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        Мінімальна пенсія становить:</w:t>
      </w:r>
    </w:p>
    <w:p w14:paraId="2D9DA019"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з 1 січня 2022 року –   1934 гривень;</w:t>
      </w:r>
    </w:p>
    <w:p w14:paraId="1313BC25"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з 1 липня 2022 року –  2027 гривні;</w:t>
      </w:r>
    </w:p>
    <w:p w14:paraId="7725A1D8"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з 1 грудня 2022 року – 2093 гривні</w:t>
      </w:r>
    </w:p>
    <w:p w14:paraId="79BEC377"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p>
    <w:p w14:paraId="265DB0EE"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Знаведеної вище таблиці бачимо, що існує не один прожитковий мінімум, а декілька. Кожнен з них використовується для власних цілей. Найбільш важливим для бухгалтера звичайного підприємства є прожитковий мінімум для працездатних осіб 2022, так як він:</w:t>
      </w:r>
    </w:p>
    <w:p w14:paraId="7359684F"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p w14:paraId="48039456"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 xml:space="preserve"> використовується при індексації зарплати. Зарплата індексується лише в межах прожиткового мінімуму; </w:t>
      </w:r>
    </w:p>
    <w:p w14:paraId="4C5E87F9"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p w14:paraId="61934867"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 xml:space="preserve">в оподаткуванні, зокрема для розрахунку податку на доходи фізичних осіб (ПДФО). На базі його значення на 1 січня розраховується податкова соціальна пільга (ПСП) та гранична сума доходу, яка дає право на застосування ПСП; </w:t>
      </w:r>
    </w:p>
    <w:p w14:paraId="6A4D754D"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p w14:paraId="3899FBAA"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 xml:space="preserve">через розмір ПСП впливає на розміри сум при кваліфікації адміністративних або кримінальних правопорушень. Дані розміри прив’язані до так званого неоподатковуваного мінімуму. Однак, для таких цілей він береться не 17 грн (як звичайно), а на рівні ПСП для відповідного року (п. 5 підрозд. 1 Перехідних положень ПКУ). </w:t>
      </w:r>
    </w:p>
    <w:p w14:paraId="065889CB"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eastAsia="ru-RU"/>
        </w:rPr>
      </w:pPr>
    </w:p>
    <w:p w14:paraId="0DAAECD8" w14:textId="77777777" w:rsidR="00F727AC" w:rsidRPr="002172CD" w:rsidRDefault="00F727AC" w:rsidP="002172CD">
      <w:pPr>
        <w:spacing w:after="0" w:line="240" w:lineRule="auto"/>
        <w:jc w:val="both"/>
        <w:rPr>
          <w:rFonts w:ascii="Times New Roman" w:eastAsia="Times New Roman" w:hAnsi="Times New Roman" w:cs="Arial"/>
          <w:sz w:val="28"/>
          <w:szCs w:val="28"/>
          <w:shd w:val="clear" w:color="auto" w:fill="FFFFFF"/>
          <w:lang w:val="uk-UA" w:eastAsia="ru-RU"/>
        </w:rPr>
      </w:pPr>
      <w:r w:rsidRPr="002172CD">
        <w:rPr>
          <w:rFonts w:ascii="Times New Roman" w:eastAsia="Times New Roman" w:hAnsi="Times New Roman" w:cs="Arial"/>
          <w:sz w:val="28"/>
          <w:szCs w:val="28"/>
          <w:shd w:val="clear" w:color="auto" w:fill="FFFFFF"/>
          <w:lang w:val="uk-UA" w:eastAsia="ru-RU"/>
        </w:rPr>
        <w:t xml:space="preserve">       </w:t>
      </w:r>
      <w:r w:rsidRPr="002172CD">
        <w:rPr>
          <w:rFonts w:ascii="Times New Roman" w:eastAsia="Times New Roman" w:hAnsi="Times New Roman" w:cs="Arial"/>
          <w:sz w:val="28"/>
          <w:szCs w:val="28"/>
          <w:shd w:val="clear" w:color="auto" w:fill="FFFFFF"/>
          <w:lang w:eastAsia="ru-RU"/>
        </w:rPr>
        <w:t>Щодо інших прожиткових мінімумів, то їх використання наступне: “дитячі” прожиткові мінімуми – для розрахунку соцвиплат на підтримку малозабезпечених сімей, розрахунку аліментів для дітей відповідного віку; прожитковий мінімум для непрацездатних осіб 2022 – для розрахунку пенсій; загальний прожитковий мінімум – використовується тільки для статистики. Для бухгалтера є взагалі “зайвою” цифрою</w:t>
      </w:r>
      <w:r w:rsidRPr="002172CD">
        <w:rPr>
          <w:rFonts w:ascii="Times New Roman" w:eastAsia="Times New Roman" w:hAnsi="Times New Roman" w:cs="Arial"/>
          <w:sz w:val="28"/>
          <w:szCs w:val="28"/>
          <w:shd w:val="clear" w:color="auto" w:fill="FFFFFF"/>
          <w:lang w:val="uk-UA" w:eastAsia="ru-RU"/>
        </w:rPr>
        <w:t>.</w:t>
      </w:r>
    </w:p>
    <w:p w14:paraId="714CC181" w14:textId="77777777" w:rsidR="00F727AC" w:rsidRPr="002172CD" w:rsidRDefault="00F727AC" w:rsidP="002172CD">
      <w:pPr>
        <w:jc w:val="both"/>
        <w:rPr>
          <w:rFonts w:ascii="Times New Roman" w:hAnsi="Times New Roman" w:cs="Arial"/>
          <w:sz w:val="28"/>
          <w:szCs w:val="28"/>
          <w:shd w:val="clear" w:color="auto" w:fill="FFFFFF"/>
        </w:rPr>
      </w:pPr>
    </w:p>
    <w:p w14:paraId="28A8640E" w14:textId="77777777" w:rsidR="00F727AC" w:rsidRPr="002172CD" w:rsidRDefault="00F727AC" w:rsidP="002172CD">
      <w:pPr>
        <w:jc w:val="both"/>
        <w:rPr>
          <w:rFonts w:ascii="Times New Roman" w:eastAsia="Times New Roman" w:hAnsi="Times New Roman"/>
          <w:b/>
          <w:bCs/>
          <w:sz w:val="28"/>
          <w:szCs w:val="28"/>
          <w:lang w:eastAsia="ru-RU"/>
        </w:rPr>
      </w:pPr>
      <w:r w:rsidRPr="002172CD">
        <w:rPr>
          <w:rFonts w:ascii="Times New Roman" w:hAnsi="Times New Roman"/>
          <w:b/>
          <w:bCs/>
          <w:sz w:val="28"/>
          <w:szCs w:val="28"/>
          <w:shd w:val="clear" w:color="auto" w:fill="FFFFFF"/>
          <w:lang w:val="uk-UA"/>
        </w:rPr>
        <w:t xml:space="preserve">      </w:t>
      </w:r>
      <w:r w:rsidRPr="002172CD">
        <w:rPr>
          <w:rFonts w:ascii="Times New Roman" w:hAnsi="Times New Roman"/>
          <w:b/>
          <w:bCs/>
          <w:sz w:val="28"/>
          <w:szCs w:val="28"/>
          <w:shd w:val="clear" w:color="auto" w:fill="FFFFFF"/>
        </w:rPr>
        <w:t>У зв’язку зі збільшенням прожиткових мінімумів змінився розмір державних соціальних допомог.</w:t>
      </w:r>
    </w:p>
    <w:p w14:paraId="5F134008" w14:textId="77777777" w:rsidR="00F727AC" w:rsidRPr="002172CD" w:rsidRDefault="00F727AC" w:rsidP="002172CD">
      <w:pPr>
        <w:spacing w:after="0" w:line="240" w:lineRule="auto"/>
        <w:jc w:val="both"/>
        <w:rPr>
          <w:rFonts w:ascii="Arial" w:eastAsia="Times New Roman" w:hAnsi="Arial" w:cs="Arial"/>
          <w:b/>
          <w:bCs/>
          <w:sz w:val="32"/>
          <w:szCs w:val="32"/>
          <w:shd w:val="clear" w:color="auto" w:fill="FFFFFF"/>
          <w:lang w:eastAsia="ru-RU"/>
        </w:rPr>
      </w:pPr>
    </w:p>
    <w:p w14:paraId="008C4FAC" w14:textId="77777777" w:rsidR="00F727AC" w:rsidRPr="002172CD" w:rsidRDefault="00F727AC" w:rsidP="002172CD">
      <w:pPr>
        <w:spacing w:after="0" w:line="240" w:lineRule="auto"/>
        <w:jc w:val="both"/>
        <w:rPr>
          <w:rFonts w:ascii="Arial" w:eastAsia="Times New Roman" w:hAnsi="Arial" w:cs="Arial"/>
          <w:b/>
          <w:bCs/>
          <w:sz w:val="32"/>
          <w:szCs w:val="32"/>
          <w:shd w:val="clear" w:color="auto" w:fill="FFFFFF"/>
          <w:lang w:eastAsia="ru-RU"/>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88"/>
        <w:gridCol w:w="1438"/>
        <w:gridCol w:w="1617"/>
        <w:gridCol w:w="1796"/>
      </w:tblGrid>
      <w:tr w:rsidR="002172CD" w:rsidRPr="002172CD" w14:paraId="22E0F394"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1D92804"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val="uk-UA" w:eastAsia="ru-RU"/>
              </w:rPr>
              <w:t xml:space="preserve">                                                               </w:t>
            </w:r>
            <w:r w:rsidRPr="002172CD">
              <w:rPr>
                <w:rFonts w:ascii="Times New Roman" w:eastAsia="Times New Roman" w:hAnsi="Times New Roman" w:cs="Arial"/>
                <w:sz w:val="28"/>
                <w:szCs w:val="28"/>
                <w:lang w:eastAsia="ru-RU"/>
              </w:rPr>
              <w:t>2022 рік</w:t>
            </w:r>
          </w:p>
        </w:tc>
      </w:tr>
      <w:tr w:rsidR="002172CD" w:rsidRPr="002172CD" w14:paraId="3739F566"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ED36B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959DB2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Грн</w:t>
            </w:r>
          </w:p>
        </w:tc>
      </w:tr>
      <w:tr w:rsidR="002172CD" w:rsidRPr="002172CD" w14:paraId="1B793CCD"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81415"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у зв’язку з вагітністю та пологами</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77552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січня</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A85B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липня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9BC4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грудня</w:t>
            </w:r>
          </w:p>
        </w:tc>
      </w:tr>
      <w:tr w:rsidR="002172CD" w:rsidRPr="002172CD" w14:paraId="5C554B2E"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E36C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27390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620,25</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3436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E281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671,00</w:t>
            </w:r>
          </w:p>
        </w:tc>
      </w:tr>
      <w:tr w:rsidR="002172CD" w:rsidRPr="002172CD" w14:paraId="4D2EEC81"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F32067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при народженні дитини</w:t>
            </w:r>
          </w:p>
        </w:tc>
      </w:tr>
      <w:tr w:rsidR="002172CD" w:rsidRPr="002172CD" w14:paraId="2A0C26B9"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33F29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FED9F7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41280,00</w:t>
            </w:r>
          </w:p>
        </w:tc>
      </w:tr>
      <w:tr w:rsidR="002172CD" w:rsidRPr="002172CD" w14:paraId="0611DED3"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365668"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Одноразова виплата</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29DAD6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10320,00</w:t>
            </w:r>
          </w:p>
        </w:tc>
      </w:tr>
      <w:tr w:rsidR="002172CD" w:rsidRPr="002172CD" w14:paraId="5B678079"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9E040A"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Щомісячна виплата (36 місяців)</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70DE71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860,00</w:t>
            </w:r>
          </w:p>
        </w:tc>
      </w:tr>
      <w:tr w:rsidR="002172CD" w:rsidRPr="002172CD" w14:paraId="3EED5633"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CB88C5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особі, яка доглядає за хворою дитиною</w:t>
            </w:r>
          </w:p>
        </w:tc>
      </w:tr>
      <w:tr w:rsidR="002172CD" w:rsidRPr="002172CD" w14:paraId="1052C14E"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0C5E2"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віком:</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4436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січня</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1A60C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липня</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00233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з грудня</w:t>
            </w:r>
          </w:p>
        </w:tc>
      </w:tr>
      <w:tr w:rsidR="002172CD" w:rsidRPr="002172CD" w14:paraId="26B96ED3"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E9125"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3210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4200,00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376C5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4402,00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48BF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4544,00</w:t>
            </w:r>
          </w:p>
        </w:tc>
      </w:tr>
      <w:tr w:rsidR="002172CD" w:rsidRPr="002172CD" w14:paraId="42E428A4"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DD593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B44E2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5236,00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27DAD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5488,00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3DA8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5666,00</w:t>
            </w:r>
          </w:p>
        </w:tc>
      </w:tr>
      <w:tr w:rsidR="002172CD" w:rsidRPr="002172CD" w14:paraId="54F656E3"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5F7F81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на дітей одиноким матерям</w:t>
            </w:r>
          </w:p>
        </w:tc>
      </w:tr>
      <w:tr w:rsidR="002172CD" w:rsidRPr="002172CD" w14:paraId="5D000156"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7020F4"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віком:</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DACE5F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0BAA730B"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4025B1"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F2F54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2100,00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B7A56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2201,00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51B57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2272,00</w:t>
            </w:r>
          </w:p>
        </w:tc>
      </w:tr>
      <w:tr w:rsidR="002172CD" w:rsidRPr="002172CD" w14:paraId="73AD7BA4"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0C1FF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D32748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3552C413"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6D348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59CF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2618,00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3EC8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2744,00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6ACD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2833,00</w:t>
            </w:r>
          </w:p>
        </w:tc>
      </w:tr>
      <w:tr w:rsidR="002172CD" w:rsidRPr="002172CD" w14:paraId="1D819C5C"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38D77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6AE731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6FF2C80C"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58440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18 до 23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36626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2481,00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A33E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2600,00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55217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2684,00</w:t>
            </w:r>
          </w:p>
        </w:tc>
      </w:tr>
      <w:tr w:rsidR="002172CD" w:rsidRPr="002172CD" w14:paraId="52F50870"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F1561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87F9E9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r>
      <w:tr w:rsidR="002172CD" w:rsidRPr="002172CD" w14:paraId="5AA9C0D2"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D51800A"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на дітей, над якими встановлено опіку чи піклування</w:t>
            </w:r>
          </w:p>
        </w:tc>
      </w:tr>
      <w:tr w:rsidR="002172CD" w:rsidRPr="002172CD" w14:paraId="7B0CF040"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57132D"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віком:</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0878BD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3BA0EE71"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9C11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129F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5250,00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5361F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5502,50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E2F36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5680,00</w:t>
            </w:r>
          </w:p>
        </w:tc>
      </w:tr>
      <w:tr w:rsidR="002172CD" w:rsidRPr="002172CD" w14:paraId="47EC7F81"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E8431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 для дітей з інвалідністю</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27B4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7350,00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1F6BC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7703,50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76216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7952,00</w:t>
            </w:r>
          </w:p>
        </w:tc>
      </w:tr>
      <w:tr w:rsidR="002172CD" w:rsidRPr="002172CD" w14:paraId="0ABD24A1"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6E440D8"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8752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6545,00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385C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6860,00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0F67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7082,50</w:t>
            </w:r>
          </w:p>
        </w:tc>
      </w:tr>
      <w:tr w:rsidR="002172CD" w:rsidRPr="002172CD" w14:paraId="05AA629A"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32FAB3"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 для дітей з інвалідністю</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C8601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9163,00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A717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9604,00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800E1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9915,50</w:t>
            </w:r>
          </w:p>
        </w:tc>
      </w:tr>
      <w:tr w:rsidR="002172CD" w:rsidRPr="002172CD" w14:paraId="23DB1CFA"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4956F48"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Тимчасова державна допомога дітям, батьки яких ухиляються від сплати аліментів</w:t>
            </w:r>
          </w:p>
        </w:tc>
      </w:tr>
      <w:tr w:rsidR="002172CD" w:rsidRPr="002172CD" w14:paraId="0D83FF6F"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368E1"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Діти віком:</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00B533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41B73A92"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EAFD60"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6FA4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1050,00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BB7A2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1100,50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4A5BF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1136,00</w:t>
            </w:r>
          </w:p>
        </w:tc>
      </w:tr>
      <w:tr w:rsidR="002172CD" w:rsidRPr="002172CD" w14:paraId="453A0D88"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4EC81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25EADB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18352FDD"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25F704"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8241C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1309,00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2234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1372,00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0D05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1416,50</w:t>
            </w:r>
          </w:p>
        </w:tc>
      </w:tr>
      <w:tr w:rsidR="002172CD" w:rsidRPr="002172CD" w14:paraId="1DFC4202"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B79E2BD"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Державна соціальна допомога на дітей-сиріт та дітей, позбавлених батьківського піклування</w:t>
            </w:r>
          </w:p>
        </w:tc>
      </w:tr>
      <w:tr w:rsidR="002172CD" w:rsidRPr="002172CD" w14:paraId="58CBD002"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CF5EE"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віком:</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61F395E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максимальний</w:t>
            </w:r>
          </w:p>
        </w:tc>
      </w:tr>
      <w:tr w:rsidR="002172CD" w:rsidRPr="002172CD" w14:paraId="3A4F81F6"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7C2EE"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FDF50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5250,00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AD31A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5502,50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57C5E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5680,00</w:t>
            </w:r>
          </w:p>
        </w:tc>
      </w:tr>
      <w:tr w:rsidR="002172CD" w:rsidRPr="002172CD" w14:paraId="0F1E5BEC"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3994CF"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0E85E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6545,00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335A9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6860,00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280A4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7082,50</w:t>
            </w:r>
          </w:p>
        </w:tc>
      </w:tr>
      <w:tr w:rsidR="002172CD" w:rsidRPr="002172CD" w14:paraId="27208E6F"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92D5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від 18 до 23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C92A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6202,50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63182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6500,00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A1E02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6710,00</w:t>
            </w:r>
          </w:p>
        </w:tc>
      </w:tr>
      <w:tr w:rsidR="002172CD" w:rsidRPr="002172CD" w14:paraId="021C2926"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50B7F"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Дитина з інвалідністю 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96D27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7350,0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14019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7703,50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8D845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7952,00</w:t>
            </w:r>
          </w:p>
        </w:tc>
      </w:tr>
      <w:tr w:rsidR="002172CD" w:rsidRPr="002172CD" w14:paraId="46B6094E"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35B38"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Дитина з інвалідністю 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AF209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9163,00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299B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9604,00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4F352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9915,50</w:t>
            </w:r>
          </w:p>
        </w:tc>
      </w:tr>
      <w:tr w:rsidR="002172CD" w:rsidRPr="002172CD" w14:paraId="46A33CAB"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FD8C4"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Дитина з інвалідністю 18 до 23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BB27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8683,50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A623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9100,00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6896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9394,00</w:t>
            </w:r>
          </w:p>
        </w:tc>
      </w:tr>
      <w:tr w:rsidR="002172CD" w:rsidRPr="002172CD" w14:paraId="6AF3E769"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F5B41B0"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Щомісячна грошова допомога особі, яка проживає разом з особою з інвалідністю І чи ІІ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2172CD" w:rsidRPr="002172CD" w14:paraId="47B11C09"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018555"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Прожитковий мінімум на одну особу в розрахунку на місяць</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64CDC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2393,00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7BC44"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2508,00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E362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2589,00</w:t>
            </w:r>
          </w:p>
        </w:tc>
      </w:tr>
      <w:tr w:rsidR="002172CD" w:rsidRPr="002172CD" w14:paraId="7CCB2CB7"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08D6E3E"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Державна соціальна допомога малозабезпеченим сім’ям</w:t>
            </w:r>
          </w:p>
        </w:tc>
      </w:tr>
      <w:tr w:rsidR="002172CD" w:rsidRPr="002172CD" w14:paraId="62200162"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7F73C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для працездатних осіб (45% прож. мінімуму для прац.осіб)</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9402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1116,45</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7008F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1170,00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14C6E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1207,80</w:t>
            </w:r>
          </w:p>
        </w:tc>
      </w:tr>
      <w:tr w:rsidR="002172CD" w:rsidRPr="002172CD" w14:paraId="166E023E"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E1E88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для осіб, які втратили працездатність та осіб з інвалідністю (100%)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A2CB1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1934,00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567D8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2027,00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1AD51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2093,00</w:t>
            </w:r>
          </w:p>
        </w:tc>
      </w:tr>
      <w:tr w:rsidR="002172CD" w:rsidRPr="002172CD" w14:paraId="0389F6E2"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8C198"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для дітей (130%) віком:</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0907991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r>
      <w:tr w:rsidR="002172CD" w:rsidRPr="002172CD" w14:paraId="02D5BB91"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0ED8D"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635E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2730,00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BFC10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2861,30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5D140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2953,60</w:t>
            </w:r>
          </w:p>
        </w:tc>
      </w:tr>
      <w:tr w:rsidR="002172CD" w:rsidRPr="002172CD" w14:paraId="6D019B89"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89628C"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96698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3403,40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B5AA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3567,20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B08C4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3682,90</w:t>
            </w:r>
          </w:p>
        </w:tc>
      </w:tr>
      <w:tr w:rsidR="002172CD" w:rsidRPr="002172CD" w14:paraId="75D5727A"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8D59F"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від 18 до 23 років (за умови навчання)</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E8397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3225,30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F131B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3380,00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0D2F1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3489,20</w:t>
            </w:r>
          </w:p>
        </w:tc>
      </w:tr>
      <w:tr w:rsidR="002172CD" w:rsidRPr="002172CD" w14:paraId="42B4E76E"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895B7B2"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Одноразова матеріальна допомога особі, яка постраждала від торгівлі людьми</w:t>
            </w:r>
          </w:p>
        </w:tc>
      </w:tr>
      <w:tr w:rsidR="002172CD" w:rsidRPr="002172CD" w14:paraId="67B421FD"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1F308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працездатна особа</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96063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7443,00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9048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7800,00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B0AB9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8052,00</w:t>
            </w:r>
          </w:p>
        </w:tc>
      </w:tr>
      <w:tr w:rsidR="002172CD" w:rsidRPr="002172CD" w14:paraId="685B0C58"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88C83F"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 яка втратила працездатність та особа з інвалідністю</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76CA7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5802,00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4300B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6081,00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E53A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6279,00</w:t>
            </w:r>
          </w:p>
        </w:tc>
      </w:tr>
      <w:tr w:rsidR="002172CD" w:rsidRPr="002172CD" w14:paraId="38160935"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F5897A"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діти віком до 6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A7CA4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6300,00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09335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6603,00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4113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6816,00</w:t>
            </w:r>
          </w:p>
        </w:tc>
      </w:tr>
      <w:tr w:rsidR="002172CD" w:rsidRPr="002172CD" w14:paraId="3F4DE533"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6C0B00"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діти віком від 6 до 18 років</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EC33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7854,00</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2C72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8232,00</w:t>
            </w:r>
          </w:p>
        </w:tc>
        <w:tc>
          <w:tcPr>
            <w:tcW w:w="18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EFE4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8499,00</w:t>
            </w:r>
          </w:p>
        </w:tc>
      </w:tr>
      <w:tr w:rsidR="002172CD" w:rsidRPr="002172CD" w14:paraId="0E691017" w14:textId="77777777" w:rsidTr="00051113">
        <w:tc>
          <w:tcPr>
            <w:tcW w:w="93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A5EB59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Допомога при усиновленні дитини</w:t>
            </w:r>
          </w:p>
        </w:tc>
      </w:tr>
      <w:tr w:rsidR="002172CD" w:rsidRPr="002172CD" w14:paraId="61162024"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9AF89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27401944"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41280,00</w:t>
            </w:r>
          </w:p>
        </w:tc>
      </w:tr>
      <w:tr w:rsidR="002172CD" w:rsidRPr="002172CD" w14:paraId="2233F2F0"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BE823"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Одноразова виплата</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17653F2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10320,00</w:t>
            </w:r>
          </w:p>
        </w:tc>
      </w:tr>
      <w:tr w:rsidR="002172CD" w:rsidRPr="002172CD" w14:paraId="207A0E0F" w14:textId="77777777" w:rsidTr="00051113">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BB721"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Щомісячна виплата (36 місяців)</w:t>
            </w:r>
          </w:p>
        </w:tc>
        <w:tc>
          <w:tcPr>
            <w:tcW w:w="486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7CAD53F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860,00</w:t>
            </w:r>
          </w:p>
        </w:tc>
      </w:tr>
    </w:tbl>
    <w:p w14:paraId="057A1046" w14:textId="77777777" w:rsidR="00F727AC" w:rsidRPr="002172CD" w:rsidRDefault="00F727AC" w:rsidP="002172CD">
      <w:pPr>
        <w:shd w:val="clear" w:color="auto" w:fill="FFFFFF"/>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p w14:paraId="36CEF119" w14:textId="77777777" w:rsidR="00F727AC" w:rsidRPr="00593116" w:rsidRDefault="00F727AC" w:rsidP="002172CD">
      <w:pPr>
        <w:shd w:val="clear" w:color="auto" w:fill="FFFFFF"/>
        <w:spacing w:after="360" w:line="240" w:lineRule="auto"/>
        <w:jc w:val="both"/>
        <w:rPr>
          <w:rFonts w:ascii="Times New Roman" w:eastAsia="Times New Roman" w:hAnsi="Times New Roman" w:cs="Arial"/>
          <w:b/>
          <w:sz w:val="28"/>
          <w:szCs w:val="28"/>
          <w:lang w:eastAsia="ru-RU"/>
        </w:rPr>
      </w:pPr>
      <w:r w:rsidRPr="00593116">
        <w:rPr>
          <w:rFonts w:ascii="Times New Roman" w:eastAsia="Times New Roman" w:hAnsi="Times New Roman" w:cs="Arial"/>
          <w:b/>
          <w:sz w:val="28"/>
          <w:szCs w:val="28"/>
          <w:lang w:eastAsia="ru-RU"/>
        </w:rPr>
        <w:t>Державна соціальна допомога особам з інвалідністю з дитинства та дітям з інвалідністю </w:t>
      </w:r>
      <w:bookmarkStart w:id="0" w:name="_GoBack"/>
      <w:bookmarkEnd w:id="0"/>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57"/>
        <w:gridCol w:w="1410"/>
        <w:gridCol w:w="1448"/>
        <w:gridCol w:w="1524"/>
      </w:tblGrid>
      <w:tr w:rsidR="002172CD" w:rsidRPr="002172CD" w14:paraId="79111D84"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3C04113E"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особам з інвалідністю з дитинства І групи підгрупи </w:t>
            </w:r>
            <w:proofErr w:type="gramStart"/>
            <w:r w:rsidRPr="002172CD">
              <w:rPr>
                <w:rFonts w:ascii="Times New Roman" w:eastAsia="Times New Roman" w:hAnsi="Times New Roman" w:cs="Arial"/>
                <w:sz w:val="28"/>
                <w:szCs w:val="28"/>
                <w:lang w:eastAsia="ru-RU"/>
              </w:rPr>
              <w:t>А</w:t>
            </w:r>
            <w:proofErr w:type="gramEnd"/>
            <w:r w:rsidRPr="002172CD">
              <w:rPr>
                <w:rFonts w:ascii="Times New Roman" w:eastAsia="Times New Roman" w:hAnsi="Times New Roman" w:cs="Arial"/>
                <w:sz w:val="28"/>
                <w:szCs w:val="28"/>
                <w:lang w:eastAsia="ru-RU"/>
              </w:rPr>
              <w:t xml:space="preserve">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6441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6589,80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F655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6906,90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FE14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7131,10</w:t>
            </w:r>
          </w:p>
        </w:tc>
      </w:tr>
      <w:tr w:rsidR="002172CD" w:rsidRPr="002172CD" w14:paraId="59A40216"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20A65AA1"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особам з інвалідністю з дитинства І групи підгрупи Б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EF97F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3868,00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5075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4054,00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185C9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4186,00</w:t>
            </w:r>
          </w:p>
        </w:tc>
      </w:tr>
      <w:tr w:rsidR="002172CD" w:rsidRPr="002172CD" w14:paraId="18ACDC3F"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03F0F6EA"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особам з інвалідністю з дитинства ІІ групи</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3D183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1934,00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D6F27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2027,00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1F813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2093,00</w:t>
            </w:r>
          </w:p>
        </w:tc>
      </w:tr>
      <w:tr w:rsidR="002172CD" w:rsidRPr="002172CD" w14:paraId="2EFB1A1C"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3A8A1861"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особам з інвалідністю з дитинства ІІ групи, одиноким, які за висновком МСЕК потребують постійного стороннього догляду,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6239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2997,70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1513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3141,85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34BB1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3244,15</w:t>
            </w:r>
          </w:p>
        </w:tc>
      </w:tr>
      <w:tr w:rsidR="002172CD" w:rsidRPr="002172CD" w14:paraId="68DD00F4"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72255E17"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особам з інвалідністю з дитинства ІІІ групи</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9781D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1934,00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5D7EC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2027,00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D6934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2093,00</w:t>
            </w:r>
          </w:p>
        </w:tc>
      </w:tr>
      <w:tr w:rsidR="002172CD" w:rsidRPr="002172CD" w14:paraId="1A952DD5"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017A7BA4"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особам з інвалідністю з дитинства ІІІ групи, які за висновком МСЕК </w:t>
            </w:r>
            <w:r w:rsidRPr="002172CD">
              <w:rPr>
                <w:rFonts w:ascii="Times New Roman" w:eastAsia="Times New Roman" w:hAnsi="Times New Roman" w:cs="Arial"/>
                <w:sz w:val="28"/>
                <w:szCs w:val="28"/>
                <w:lang w:eastAsia="ru-RU"/>
              </w:rPr>
              <w:lastRenderedPageBreak/>
              <w:t>потребують постійного стороннього догляду,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604B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2610,90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50AF6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2736,45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6631E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2825,55</w:t>
            </w:r>
          </w:p>
        </w:tc>
      </w:tr>
      <w:tr w:rsidR="002172CD" w:rsidRPr="002172CD" w14:paraId="124BF29C"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680BFFC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до 18 років</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1108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1934,00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C3AF3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2027,00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6605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2093,00</w:t>
            </w:r>
          </w:p>
        </w:tc>
      </w:tr>
      <w:tr w:rsidR="002172CD" w:rsidRPr="002172CD" w14:paraId="581BAF50"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06A6F2D6"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на дітей з інвалідністю підгрупи </w:t>
            </w:r>
            <w:proofErr w:type="gramStart"/>
            <w:r w:rsidRPr="002172CD">
              <w:rPr>
                <w:rFonts w:ascii="Times New Roman" w:eastAsia="Times New Roman" w:hAnsi="Times New Roman" w:cs="Arial"/>
                <w:sz w:val="28"/>
                <w:szCs w:val="28"/>
                <w:lang w:eastAsia="ru-RU"/>
              </w:rPr>
              <w:t>А</w:t>
            </w:r>
            <w:proofErr w:type="gramEnd"/>
            <w:r w:rsidRPr="002172CD">
              <w:rPr>
                <w:rFonts w:ascii="Times New Roman" w:eastAsia="Times New Roman" w:hAnsi="Times New Roman" w:cs="Arial"/>
                <w:sz w:val="28"/>
                <w:szCs w:val="28"/>
                <w:lang w:eastAsia="ru-RU"/>
              </w:rPr>
              <w:t xml:space="preserve"> віком до 6 років з</w:t>
            </w:r>
          </w:p>
          <w:p w14:paraId="4DBEBD0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65B13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5553,80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4C93B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5820,90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CC0D0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6009,10</w:t>
            </w:r>
          </w:p>
        </w:tc>
      </w:tr>
      <w:tr w:rsidR="002172CD" w:rsidRPr="002172CD" w14:paraId="0BA61A80"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392162A2"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віком до 6 років з надбавкоюна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D1C12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2403,80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EB1ED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2519,40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0B617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2600,10</w:t>
            </w:r>
          </w:p>
        </w:tc>
      </w:tr>
      <w:tr w:rsidR="002172CD" w:rsidRPr="002172CD" w14:paraId="27033AE0"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7E534A15"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на дітей з інвалідністю підгрупи </w:t>
            </w:r>
            <w:proofErr w:type="gramStart"/>
            <w:r w:rsidRPr="002172CD">
              <w:rPr>
                <w:rFonts w:ascii="Times New Roman" w:eastAsia="Times New Roman" w:hAnsi="Times New Roman" w:cs="Arial"/>
                <w:sz w:val="28"/>
                <w:szCs w:val="28"/>
                <w:lang w:eastAsia="ru-RU"/>
              </w:rPr>
              <w:t>А</w:t>
            </w:r>
            <w:proofErr w:type="gramEnd"/>
            <w:r w:rsidRPr="002172CD">
              <w:rPr>
                <w:rFonts w:ascii="Times New Roman" w:eastAsia="Times New Roman" w:hAnsi="Times New Roman" w:cs="Arial"/>
                <w:sz w:val="28"/>
                <w:szCs w:val="28"/>
                <w:lang w:eastAsia="ru-RU"/>
              </w:rPr>
              <w:t xml:space="preserve"> віком від 6 років до 18 років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4E009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6589,80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7874B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6906,90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23947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7131,10</w:t>
            </w:r>
          </w:p>
        </w:tc>
      </w:tr>
      <w:tr w:rsidR="002172CD" w:rsidRPr="002172CD" w14:paraId="30B2B0D7"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41F66C35"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віком від 6 років до 18 років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A1F60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2662,80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6792E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2790,90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7A87A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2881,60</w:t>
            </w:r>
          </w:p>
        </w:tc>
      </w:tr>
      <w:tr w:rsidR="002172CD" w:rsidRPr="002172CD" w14:paraId="7B88D09C"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5236F129"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на дітей з інвалідністю підгрупи </w:t>
            </w:r>
            <w:proofErr w:type="gramStart"/>
            <w:r w:rsidRPr="002172CD">
              <w:rPr>
                <w:rFonts w:ascii="Times New Roman" w:eastAsia="Times New Roman" w:hAnsi="Times New Roman" w:cs="Arial"/>
                <w:sz w:val="28"/>
                <w:szCs w:val="28"/>
                <w:lang w:eastAsia="ru-RU"/>
              </w:rPr>
              <w:t>А</w:t>
            </w:r>
            <w:proofErr w:type="gramEnd"/>
            <w:r w:rsidRPr="002172CD">
              <w:rPr>
                <w:rFonts w:ascii="Times New Roman" w:eastAsia="Times New Roman" w:hAnsi="Times New Roman" w:cs="Arial"/>
                <w:sz w:val="28"/>
                <w:szCs w:val="28"/>
                <w:lang w:eastAsia="ru-RU"/>
              </w:rPr>
              <w:t xml:space="preserve"> віком до 6 років внаслідок ВНП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CE8F8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8330,70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66166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8731,35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527E7"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9013,65</w:t>
            </w:r>
          </w:p>
        </w:tc>
      </w:tr>
      <w:tr w:rsidR="002172CD" w:rsidRPr="002172CD" w14:paraId="12A234EC"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4AB7EF13"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xml:space="preserve">на дітей з інвалідністю підгрупи </w:t>
            </w:r>
            <w:proofErr w:type="gramStart"/>
            <w:r w:rsidRPr="002172CD">
              <w:rPr>
                <w:rFonts w:ascii="Times New Roman" w:eastAsia="Times New Roman" w:hAnsi="Times New Roman" w:cs="Arial"/>
                <w:sz w:val="28"/>
                <w:szCs w:val="28"/>
                <w:lang w:eastAsia="ru-RU"/>
              </w:rPr>
              <w:t>А</w:t>
            </w:r>
            <w:proofErr w:type="gramEnd"/>
            <w:r w:rsidRPr="002172CD">
              <w:rPr>
                <w:rFonts w:ascii="Times New Roman" w:eastAsia="Times New Roman" w:hAnsi="Times New Roman" w:cs="Arial"/>
                <w:sz w:val="28"/>
                <w:szCs w:val="28"/>
                <w:lang w:eastAsia="ru-RU"/>
              </w:rPr>
              <w:t xml:space="preserve"> віком від 6 до 18 років внаслідок ВНП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5B963B"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9884,70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9EFF3F"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10360,35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2D50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10696,65</w:t>
            </w:r>
          </w:p>
        </w:tc>
      </w:tr>
      <w:tr w:rsidR="002172CD" w:rsidRPr="002172CD" w14:paraId="5AE2805E"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73D505FE"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до 18 років, захворювання яких пов’язано з Чорнобильською катастрофою</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53CD5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2030,70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F899ED"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2128,35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3622D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2197,65</w:t>
            </w:r>
          </w:p>
        </w:tc>
      </w:tr>
      <w:tr w:rsidR="002172CD" w:rsidRPr="002172CD" w14:paraId="3463C190"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3E638B43"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підгрупи А, захворювання яких пов’язано з ЧАЕС, до 6 років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E25F83"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6230,70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76D3B9"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6530,35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A51D5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6741,65</w:t>
            </w:r>
          </w:p>
        </w:tc>
      </w:tr>
      <w:tr w:rsidR="002172CD" w:rsidRPr="002172CD" w14:paraId="3C966227"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7205902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захворювання яких пов’язано з ЧАЕС, до 6 років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8C02C"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3080,70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1503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3228,85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2048D1"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3333,65</w:t>
            </w:r>
          </w:p>
        </w:tc>
      </w:tr>
      <w:tr w:rsidR="002172CD" w:rsidRPr="002172CD" w14:paraId="483EE941"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70403F0B"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підгрупи А, захворювання яких пов’язано з ЧАЕС, до 6 років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F70C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4738,95</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562570"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4966,20</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6F48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5180,70</w:t>
            </w:r>
          </w:p>
        </w:tc>
      </w:tr>
      <w:tr w:rsidR="002172CD" w:rsidRPr="002172CD" w14:paraId="6CD5E07B"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30874E23"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lastRenderedPageBreak/>
              <w:t>на дітей з інвалідністю підгрупи А, захворювання яких пов’язано з ЧАЕС, від 6 років до 18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CD614A"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7266,70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1A4626"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7616,35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1F9B8"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7863,65</w:t>
            </w:r>
          </w:p>
        </w:tc>
      </w:tr>
      <w:tr w:rsidR="002172CD" w:rsidRPr="002172CD" w14:paraId="0540D9EC" w14:textId="77777777" w:rsidTr="00051113">
        <w:tc>
          <w:tcPr>
            <w:tcW w:w="6030" w:type="dxa"/>
            <w:tcBorders>
              <w:top w:val="outset" w:sz="6" w:space="0" w:color="auto"/>
              <w:left w:val="outset" w:sz="6" w:space="0" w:color="auto"/>
              <w:bottom w:val="outset" w:sz="6" w:space="0" w:color="auto"/>
              <w:right w:val="outset" w:sz="6" w:space="0" w:color="auto"/>
            </w:tcBorders>
            <w:shd w:val="clear" w:color="auto" w:fill="FFFFFF"/>
            <w:hideMark/>
          </w:tcPr>
          <w:p w14:paraId="6411CA50" w14:textId="77777777" w:rsidR="00F727AC" w:rsidRPr="002172CD" w:rsidRDefault="00F727AC" w:rsidP="002172CD">
            <w:pPr>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на дітей з інвалідністю, захворювання яких пов’язано з ЧАЕС, від 6 років до 18 з надбавкою на догляд</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8B542E"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3339,70</w:t>
            </w:r>
          </w:p>
        </w:tc>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291885"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3500,35</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E5572" w14:textId="77777777" w:rsidR="00F727AC" w:rsidRPr="002172CD" w:rsidRDefault="00F727AC" w:rsidP="002172CD">
            <w:pPr>
              <w:spacing w:after="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3614,15</w:t>
            </w:r>
          </w:p>
        </w:tc>
      </w:tr>
    </w:tbl>
    <w:p w14:paraId="23F4EE9B" w14:textId="77777777" w:rsidR="00F727AC" w:rsidRPr="002172CD" w:rsidRDefault="00F727AC" w:rsidP="002172CD">
      <w:pPr>
        <w:shd w:val="clear" w:color="auto" w:fill="FFFFFF"/>
        <w:spacing w:after="360" w:line="240" w:lineRule="auto"/>
        <w:jc w:val="both"/>
        <w:rPr>
          <w:rFonts w:ascii="Times New Roman" w:eastAsia="Times New Roman" w:hAnsi="Times New Roman" w:cs="Arial"/>
          <w:sz w:val="28"/>
          <w:szCs w:val="28"/>
          <w:lang w:eastAsia="ru-RU"/>
        </w:rPr>
      </w:pPr>
      <w:r w:rsidRPr="002172CD">
        <w:rPr>
          <w:rFonts w:ascii="Times New Roman" w:eastAsia="Times New Roman" w:hAnsi="Times New Roman" w:cs="Arial"/>
          <w:sz w:val="28"/>
          <w:szCs w:val="28"/>
          <w:lang w:eastAsia="ru-RU"/>
        </w:rPr>
        <w:t> </w:t>
      </w:r>
    </w:p>
    <w:p w14:paraId="067268CF" w14:textId="77777777" w:rsidR="00F727AC" w:rsidRDefault="00F727AC" w:rsidP="00F727AC">
      <w:pPr>
        <w:rPr>
          <w:rFonts w:ascii="Times New Roman" w:eastAsia="Times New Roman" w:hAnsi="Times New Roman"/>
          <w:sz w:val="28"/>
          <w:szCs w:val="28"/>
          <w:lang w:val="uk-UA" w:eastAsia="ru-RU"/>
        </w:rPr>
      </w:pPr>
    </w:p>
    <w:p w14:paraId="79D8DA15" w14:textId="77777777" w:rsidR="00830FA9" w:rsidRPr="00AA179B" w:rsidRDefault="00830FA9" w:rsidP="00AA179B">
      <w:pPr>
        <w:shd w:val="clear" w:color="auto" w:fill="FFFFFF"/>
        <w:spacing w:line="240" w:lineRule="auto"/>
        <w:jc w:val="both"/>
        <w:rPr>
          <w:rFonts w:ascii="Times New Roman" w:hAnsi="Times New Roman"/>
          <w:sz w:val="28"/>
          <w:szCs w:val="28"/>
        </w:rPr>
      </w:pPr>
      <w:r w:rsidRPr="00AA179B">
        <w:rPr>
          <w:rFonts w:ascii="Times New Roman" w:hAnsi="Times New Roman"/>
          <w:sz w:val="28"/>
          <w:szCs w:val="28"/>
        </w:rPr>
        <w:t xml:space="preserve">      </w:t>
      </w:r>
    </w:p>
    <w:p w14:paraId="0F335B0E" w14:textId="77777777" w:rsidR="00830FA9" w:rsidRPr="00AA179B" w:rsidRDefault="00830FA9" w:rsidP="00AA179B">
      <w:pPr>
        <w:spacing w:line="240" w:lineRule="auto"/>
        <w:jc w:val="both"/>
        <w:rPr>
          <w:rFonts w:ascii="Times New Roman" w:hAnsi="Times New Roman"/>
          <w:sz w:val="28"/>
          <w:szCs w:val="28"/>
        </w:rPr>
      </w:pPr>
    </w:p>
    <w:p w14:paraId="22999CEA" w14:textId="77777777" w:rsidR="00830FA9" w:rsidRPr="00AA179B" w:rsidRDefault="00830FA9" w:rsidP="00AA179B">
      <w:pPr>
        <w:spacing w:line="240" w:lineRule="auto"/>
        <w:jc w:val="both"/>
        <w:rPr>
          <w:rFonts w:ascii="Times New Roman" w:hAnsi="Times New Roman"/>
          <w:sz w:val="28"/>
          <w:szCs w:val="28"/>
        </w:rPr>
      </w:pPr>
    </w:p>
    <w:p w14:paraId="7A25787F" w14:textId="77777777" w:rsidR="00830FA9" w:rsidRPr="00AA179B" w:rsidRDefault="00830FA9" w:rsidP="00AA179B">
      <w:pPr>
        <w:spacing w:line="240" w:lineRule="auto"/>
        <w:jc w:val="both"/>
        <w:rPr>
          <w:rFonts w:ascii="Times New Roman" w:hAnsi="Times New Roman"/>
          <w:sz w:val="28"/>
          <w:szCs w:val="28"/>
        </w:rPr>
      </w:pPr>
    </w:p>
    <w:p w14:paraId="0A8CA8E2" w14:textId="77777777" w:rsidR="00830FA9" w:rsidRPr="00AA179B" w:rsidRDefault="00830FA9" w:rsidP="00AA179B">
      <w:pPr>
        <w:spacing w:line="240" w:lineRule="auto"/>
        <w:jc w:val="both"/>
        <w:rPr>
          <w:rFonts w:ascii="Times New Roman" w:hAnsi="Times New Roman"/>
          <w:sz w:val="28"/>
          <w:szCs w:val="28"/>
        </w:rPr>
      </w:pPr>
    </w:p>
    <w:p w14:paraId="77ED6138" w14:textId="77777777" w:rsidR="00F727AC" w:rsidRDefault="00F727AC" w:rsidP="00AA179B">
      <w:pPr>
        <w:spacing w:line="240" w:lineRule="auto"/>
        <w:jc w:val="both"/>
        <w:rPr>
          <w:rFonts w:ascii="Times New Roman" w:hAnsi="Times New Roman"/>
          <w:i/>
          <w:iCs/>
          <w:sz w:val="28"/>
          <w:szCs w:val="28"/>
        </w:rPr>
      </w:pPr>
      <w:r>
        <w:rPr>
          <w:rFonts w:ascii="Times New Roman" w:hAnsi="Times New Roman"/>
          <w:i/>
          <w:iCs/>
          <w:sz w:val="28"/>
          <w:szCs w:val="28"/>
          <w:lang w:val="uk-UA"/>
        </w:rPr>
        <w:t>П</w:t>
      </w:r>
      <w:r>
        <w:rPr>
          <w:rFonts w:ascii="Times New Roman" w:hAnsi="Times New Roman"/>
          <w:i/>
          <w:iCs/>
          <w:sz w:val="28"/>
          <w:szCs w:val="28"/>
        </w:rPr>
        <w:t>ідготувала</w:t>
      </w:r>
      <w:r>
        <w:rPr>
          <w:rFonts w:ascii="Times New Roman" w:hAnsi="Times New Roman"/>
          <w:i/>
          <w:iCs/>
          <w:sz w:val="28"/>
          <w:szCs w:val="28"/>
          <w:lang w:val="uk-UA"/>
        </w:rPr>
        <w:t xml:space="preserve"> </w:t>
      </w:r>
      <w:r w:rsidR="00830FA9" w:rsidRPr="00AA179B">
        <w:rPr>
          <w:rFonts w:ascii="Times New Roman" w:hAnsi="Times New Roman"/>
          <w:i/>
          <w:iCs/>
          <w:sz w:val="28"/>
          <w:szCs w:val="28"/>
        </w:rPr>
        <w:t>завідувач відділу</w:t>
      </w:r>
    </w:p>
    <w:p w14:paraId="5FE5B396" w14:textId="68B7A5BD" w:rsidR="00830FA9" w:rsidRPr="00AA179B" w:rsidRDefault="00830FA9" w:rsidP="00AA179B">
      <w:pPr>
        <w:spacing w:line="240" w:lineRule="auto"/>
        <w:jc w:val="both"/>
        <w:rPr>
          <w:rFonts w:ascii="Times New Roman" w:hAnsi="Times New Roman"/>
          <w:i/>
          <w:iCs/>
          <w:sz w:val="28"/>
          <w:szCs w:val="28"/>
        </w:rPr>
      </w:pPr>
      <w:r w:rsidRPr="00AA179B">
        <w:rPr>
          <w:rFonts w:ascii="Times New Roman" w:hAnsi="Times New Roman"/>
          <w:i/>
          <w:iCs/>
          <w:sz w:val="28"/>
          <w:szCs w:val="28"/>
        </w:rPr>
        <w:t xml:space="preserve"> соціально-економічного захисту</w:t>
      </w:r>
    </w:p>
    <w:p w14:paraId="0A27764F" w14:textId="77777777" w:rsidR="00830FA9" w:rsidRPr="00AA179B" w:rsidRDefault="00830FA9" w:rsidP="00AA179B">
      <w:pPr>
        <w:spacing w:line="240" w:lineRule="auto"/>
        <w:jc w:val="both"/>
        <w:rPr>
          <w:rFonts w:ascii="Times New Roman" w:hAnsi="Times New Roman"/>
          <w:i/>
          <w:iCs/>
          <w:sz w:val="28"/>
          <w:szCs w:val="28"/>
        </w:rPr>
      </w:pPr>
      <w:r w:rsidRPr="00AA179B">
        <w:rPr>
          <w:rFonts w:ascii="Times New Roman" w:hAnsi="Times New Roman"/>
          <w:i/>
          <w:iCs/>
          <w:sz w:val="28"/>
          <w:szCs w:val="28"/>
        </w:rPr>
        <w:t>працівників Подгорець В.В.</w:t>
      </w:r>
    </w:p>
    <w:p w14:paraId="26F26EFF" w14:textId="77777777" w:rsidR="00830FA9" w:rsidRPr="00F727AC" w:rsidRDefault="00830FA9" w:rsidP="00AA179B">
      <w:pPr>
        <w:spacing w:line="240" w:lineRule="auto"/>
        <w:jc w:val="both"/>
        <w:rPr>
          <w:rFonts w:ascii="Times New Roman" w:hAnsi="Times New Roman"/>
          <w:i/>
          <w:sz w:val="28"/>
          <w:szCs w:val="28"/>
          <w:lang w:val="uk-UA"/>
        </w:rPr>
      </w:pPr>
      <w:r w:rsidRPr="00A21BDF">
        <w:rPr>
          <w:rFonts w:ascii="Times New Roman" w:hAnsi="Times New Roman"/>
          <w:i/>
          <w:sz w:val="28"/>
          <w:szCs w:val="28"/>
        </w:rPr>
        <w:t>067 654 42 35</w:t>
      </w:r>
    </w:p>
    <w:p w14:paraId="55DE4DF5" w14:textId="4CA8D7C1" w:rsidR="00C62A10" w:rsidRPr="00DC43E5" w:rsidRDefault="00C62A10" w:rsidP="00AA179B">
      <w:pPr>
        <w:shd w:val="clear" w:color="auto" w:fill="FFFFFF"/>
        <w:spacing w:before="199" w:after="120" w:line="240" w:lineRule="auto"/>
        <w:jc w:val="center"/>
        <w:textAlignment w:val="baseline"/>
        <w:outlineLvl w:val="1"/>
        <w:rPr>
          <w:rFonts w:ascii="Times New Roman" w:hAnsi="Times New Roman"/>
          <w:i/>
          <w:sz w:val="28"/>
          <w:szCs w:val="28"/>
          <w:lang w:val="uk-UA"/>
        </w:rPr>
      </w:pPr>
    </w:p>
    <w:sectPr w:rsidR="00C62A10" w:rsidRPr="00DC43E5" w:rsidSect="007D3CC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F71"/>
    <w:multiLevelType w:val="hybridMultilevel"/>
    <w:tmpl w:val="47D2A40C"/>
    <w:lvl w:ilvl="0" w:tplc="DB6A0998">
      <w:start w:val="1"/>
      <w:numFmt w:val="bullet"/>
      <w:lvlText w:val="-"/>
      <w:lvlJc w:val="left"/>
      <w:pPr>
        <w:ind w:left="1080" w:hanging="360"/>
      </w:pPr>
      <w:rPr>
        <w:rFonts w:ascii="Helvetica" w:eastAsia="Times New Roman" w:hAnsi="Helvetica" w:cs="Helvetic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E766F2E"/>
    <w:multiLevelType w:val="multilevel"/>
    <w:tmpl w:val="2D686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B5EEF"/>
    <w:multiLevelType w:val="multilevel"/>
    <w:tmpl w:val="6F2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B038D"/>
    <w:multiLevelType w:val="multilevel"/>
    <w:tmpl w:val="BE8A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57FA8"/>
    <w:multiLevelType w:val="multilevel"/>
    <w:tmpl w:val="655A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AB4592"/>
    <w:multiLevelType w:val="multilevel"/>
    <w:tmpl w:val="6E8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E5E76"/>
    <w:multiLevelType w:val="hybridMultilevel"/>
    <w:tmpl w:val="D9C26080"/>
    <w:lvl w:ilvl="0" w:tplc="703AEDA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3123AB"/>
    <w:multiLevelType w:val="multilevel"/>
    <w:tmpl w:val="36B4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E339E"/>
    <w:multiLevelType w:val="multilevel"/>
    <w:tmpl w:val="FF66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332C9"/>
    <w:multiLevelType w:val="multilevel"/>
    <w:tmpl w:val="1A22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1A7899"/>
    <w:multiLevelType w:val="multilevel"/>
    <w:tmpl w:val="BE1C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61FE2"/>
    <w:multiLevelType w:val="hybridMultilevel"/>
    <w:tmpl w:val="1E305D9A"/>
    <w:lvl w:ilvl="0" w:tplc="7BC46E3A">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CB1AE8"/>
    <w:multiLevelType w:val="multilevel"/>
    <w:tmpl w:val="CDB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797660"/>
    <w:multiLevelType w:val="multilevel"/>
    <w:tmpl w:val="128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221AA"/>
    <w:multiLevelType w:val="hybridMultilevel"/>
    <w:tmpl w:val="F2DED9FA"/>
    <w:lvl w:ilvl="0" w:tplc="1A2AFDF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61433D"/>
    <w:multiLevelType w:val="hybridMultilevel"/>
    <w:tmpl w:val="6DA2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493822"/>
    <w:multiLevelType w:val="multilevel"/>
    <w:tmpl w:val="3C9A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A75B4"/>
    <w:multiLevelType w:val="multilevel"/>
    <w:tmpl w:val="BD36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8"/>
  </w:num>
  <w:num w:numId="4">
    <w:abstractNumId w:val="3"/>
  </w:num>
  <w:num w:numId="5">
    <w:abstractNumId w:val="10"/>
  </w:num>
  <w:num w:numId="6">
    <w:abstractNumId w:val="6"/>
  </w:num>
  <w:num w:numId="7">
    <w:abstractNumId w:val="1"/>
  </w:num>
  <w:num w:numId="8">
    <w:abstractNumId w:val="0"/>
  </w:num>
  <w:num w:numId="9">
    <w:abstractNumId w:val="15"/>
  </w:num>
  <w:num w:numId="10">
    <w:abstractNumId w:val="11"/>
  </w:num>
  <w:num w:numId="11">
    <w:abstractNumId w:val="17"/>
  </w:num>
  <w:num w:numId="12">
    <w:abstractNumId w:val="2"/>
  </w:num>
  <w:num w:numId="13">
    <w:abstractNumId w:val="12"/>
  </w:num>
  <w:num w:numId="14">
    <w:abstractNumId w:val="16"/>
  </w:num>
  <w:num w:numId="15">
    <w:abstractNumId w:val="7"/>
  </w:num>
  <w:num w:numId="16">
    <w:abstractNumId w:val="4"/>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9E"/>
    <w:rsid w:val="0001558B"/>
    <w:rsid w:val="00054BFA"/>
    <w:rsid w:val="000B4D0F"/>
    <w:rsid w:val="000C1346"/>
    <w:rsid w:val="000C4C06"/>
    <w:rsid w:val="000F27F2"/>
    <w:rsid w:val="001D6212"/>
    <w:rsid w:val="001E32C8"/>
    <w:rsid w:val="002172CD"/>
    <w:rsid w:val="002F2ADF"/>
    <w:rsid w:val="002F658C"/>
    <w:rsid w:val="00484AAC"/>
    <w:rsid w:val="00593116"/>
    <w:rsid w:val="005A33E1"/>
    <w:rsid w:val="00621AD8"/>
    <w:rsid w:val="00631606"/>
    <w:rsid w:val="00650060"/>
    <w:rsid w:val="0068710A"/>
    <w:rsid w:val="0068744B"/>
    <w:rsid w:val="00694FE3"/>
    <w:rsid w:val="006F08CB"/>
    <w:rsid w:val="007B49C6"/>
    <w:rsid w:val="007B520E"/>
    <w:rsid w:val="007C3232"/>
    <w:rsid w:val="007D3CC9"/>
    <w:rsid w:val="0082619E"/>
    <w:rsid w:val="00830FA9"/>
    <w:rsid w:val="008C131E"/>
    <w:rsid w:val="008D299F"/>
    <w:rsid w:val="0090644D"/>
    <w:rsid w:val="009151D2"/>
    <w:rsid w:val="00994593"/>
    <w:rsid w:val="009956D0"/>
    <w:rsid w:val="00A17CD7"/>
    <w:rsid w:val="00A21BDF"/>
    <w:rsid w:val="00A358B3"/>
    <w:rsid w:val="00AA179B"/>
    <w:rsid w:val="00B40C54"/>
    <w:rsid w:val="00BA6FA4"/>
    <w:rsid w:val="00BE6DEB"/>
    <w:rsid w:val="00BF23D7"/>
    <w:rsid w:val="00C62A10"/>
    <w:rsid w:val="00C713E9"/>
    <w:rsid w:val="00CB76D3"/>
    <w:rsid w:val="00CE1F87"/>
    <w:rsid w:val="00CE38B9"/>
    <w:rsid w:val="00D461D3"/>
    <w:rsid w:val="00DC43E5"/>
    <w:rsid w:val="00E210C2"/>
    <w:rsid w:val="00E33FEC"/>
    <w:rsid w:val="00EF6C12"/>
    <w:rsid w:val="00F27848"/>
    <w:rsid w:val="00F727AC"/>
    <w:rsid w:val="00F8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E01B"/>
  <w15:chartTrackingRefBased/>
  <w15:docId w15:val="{F8CCD475-02FD-4BF8-BCBD-4D7010AE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9956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locked/>
    <w:rsid w:val="00830FA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styleId="a4">
    <w:name w:val="Hyperlink"/>
    <w:basedOn w:val="a0"/>
    <w:uiPriority w:val="99"/>
    <w:unhideWhenUsed/>
    <w:rsid w:val="00484AAC"/>
    <w:rPr>
      <w:color w:val="0000FF" w:themeColor="hyperlink"/>
      <w:u w:val="single"/>
    </w:rPr>
  </w:style>
  <w:style w:type="paragraph" w:styleId="a5">
    <w:name w:val="List Paragraph"/>
    <w:basedOn w:val="a"/>
    <w:uiPriority w:val="34"/>
    <w:qFormat/>
    <w:rsid w:val="0090644D"/>
    <w:pPr>
      <w:ind w:left="720"/>
      <w:contextualSpacing/>
    </w:pPr>
  </w:style>
  <w:style w:type="paragraph" w:styleId="a6">
    <w:name w:val="Normal (Web)"/>
    <w:basedOn w:val="a"/>
    <w:uiPriority w:val="99"/>
    <w:unhideWhenUsed/>
    <w:rsid w:val="001E32C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956D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830FA9"/>
    <w:rPr>
      <w:rFonts w:ascii="Times New Roman" w:eastAsia="Times New Roman" w:hAnsi="Times New Roman"/>
      <w:b/>
      <w:bCs/>
      <w:sz w:val="36"/>
      <w:szCs w:val="36"/>
      <w:lang w:eastAsia="ru-RU"/>
    </w:rPr>
  </w:style>
  <w:style w:type="paragraph" w:styleId="a7">
    <w:basedOn w:val="a"/>
    <w:next w:val="a6"/>
    <w:uiPriority w:val="99"/>
    <w:rsid w:val="00830FA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locked/>
    <w:rsid w:val="00830FA9"/>
    <w:rPr>
      <w:b/>
      <w:bCs/>
    </w:rPr>
  </w:style>
  <w:style w:type="paragraph" w:styleId="a9">
    <w:name w:val="Balloon Text"/>
    <w:basedOn w:val="a"/>
    <w:link w:val="aa"/>
    <w:uiPriority w:val="99"/>
    <w:semiHidden/>
    <w:unhideWhenUsed/>
    <w:rsid w:val="00F727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72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22282">
      <w:bodyDiv w:val="1"/>
      <w:marLeft w:val="0"/>
      <w:marRight w:val="0"/>
      <w:marTop w:val="0"/>
      <w:marBottom w:val="0"/>
      <w:divBdr>
        <w:top w:val="none" w:sz="0" w:space="0" w:color="auto"/>
        <w:left w:val="none" w:sz="0" w:space="0" w:color="auto"/>
        <w:bottom w:val="none" w:sz="0" w:space="0" w:color="auto"/>
        <w:right w:val="none" w:sz="0" w:space="0" w:color="auto"/>
      </w:divBdr>
      <w:divsChild>
        <w:div w:id="598828202">
          <w:marLeft w:val="0"/>
          <w:marRight w:val="0"/>
          <w:marTop w:val="0"/>
          <w:marBottom w:val="450"/>
          <w:divBdr>
            <w:top w:val="none" w:sz="0" w:space="0" w:color="auto"/>
            <w:left w:val="none" w:sz="0" w:space="0" w:color="auto"/>
            <w:bottom w:val="none" w:sz="0" w:space="0" w:color="auto"/>
            <w:right w:val="none" w:sz="0" w:space="0" w:color="auto"/>
          </w:divBdr>
          <w:divsChild>
            <w:div w:id="1577278728">
              <w:marLeft w:val="-225"/>
              <w:marRight w:val="-225"/>
              <w:marTop w:val="0"/>
              <w:marBottom w:val="0"/>
              <w:divBdr>
                <w:top w:val="none" w:sz="0" w:space="0" w:color="auto"/>
                <w:left w:val="none" w:sz="0" w:space="0" w:color="auto"/>
                <w:bottom w:val="none" w:sz="0" w:space="0" w:color="auto"/>
                <w:right w:val="none" w:sz="0" w:space="0" w:color="auto"/>
              </w:divBdr>
              <w:divsChild>
                <w:div w:id="506528827">
                  <w:marLeft w:val="0"/>
                  <w:marRight w:val="0"/>
                  <w:marTop w:val="0"/>
                  <w:marBottom w:val="0"/>
                  <w:divBdr>
                    <w:top w:val="none" w:sz="0" w:space="0" w:color="auto"/>
                    <w:left w:val="none" w:sz="0" w:space="0" w:color="auto"/>
                    <w:bottom w:val="none" w:sz="0" w:space="0" w:color="auto"/>
                    <w:right w:val="none" w:sz="0" w:space="0" w:color="auto"/>
                  </w:divBdr>
                  <w:divsChild>
                    <w:div w:id="338117621">
                      <w:marLeft w:val="0"/>
                      <w:marRight w:val="0"/>
                      <w:marTop w:val="0"/>
                      <w:marBottom w:val="0"/>
                      <w:divBdr>
                        <w:top w:val="single" w:sz="6" w:space="4" w:color="F0F0F0"/>
                        <w:left w:val="none" w:sz="0" w:space="0" w:color="auto"/>
                        <w:bottom w:val="single" w:sz="6" w:space="4" w:color="F0F0F0"/>
                        <w:right w:val="none" w:sz="0" w:space="0" w:color="auto"/>
                      </w:divBdr>
                      <w:divsChild>
                        <w:div w:id="201865817">
                          <w:marLeft w:val="0"/>
                          <w:marRight w:val="0"/>
                          <w:marTop w:val="75"/>
                          <w:marBottom w:val="75"/>
                          <w:divBdr>
                            <w:top w:val="none" w:sz="0" w:space="0" w:color="auto"/>
                            <w:left w:val="none" w:sz="0" w:space="0" w:color="auto"/>
                            <w:bottom w:val="none" w:sz="0" w:space="0" w:color="auto"/>
                            <w:right w:val="none" w:sz="0" w:space="0" w:color="auto"/>
                          </w:divBdr>
                          <w:divsChild>
                            <w:div w:id="815075832">
                              <w:marLeft w:val="0"/>
                              <w:marRight w:val="150"/>
                              <w:marTop w:val="15"/>
                              <w:marBottom w:val="0"/>
                              <w:divBdr>
                                <w:top w:val="none" w:sz="0" w:space="0" w:color="auto"/>
                                <w:left w:val="none" w:sz="0" w:space="0" w:color="auto"/>
                                <w:bottom w:val="none" w:sz="0" w:space="0" w:color="auto"/>
                                <w:right w:val="none" w:sz="0" w:space="0" w:color="auto"/>
                              </w:divBdr>
                              <w:divsChild>
                                <w:div w:id="1943300648">
                                  <w:marLeft w:val="0"/>
                                  <w:marRight w:val="0"/>
                                  <w:marTop w:val="0"/>
                                  <w:marBottom w:val="0"/>
                                  <w:divBdr>
                                    <w:top w:val="none" w:sz="0" w:space="0" w:color="auto"/>
                                    <w:left w:val="none" w:sz="0" w:space="0" w:color="auto"/>
                                    <w:bottom w:val="none" w:sz="0" w:space="0" w:color="auto"/>
                                    <w:right w:val="none" w:sz="0" w:space="0" w:color="auto"/>
                                  </w:divBdr>
                                </w:div>
                              </w:divsChild>
                            </w:div>
                            <w:div w:id="1928490300">
                              <w:marLeft w:val="0"/>
                              <w:marRight w:val="150"/>
                              <w:marTop w:val="15"/>
                              <w:marBottom w:val="0"/>
                              <w:divBdr>
                                <w:top w:val="none" w:sz="0" w:space="0" w:color="auto"/>
                                <w:left w:val="none" w:sz="0" w:space="0" w:color="auto"/>
                                <w:bottom w:val="none" w:sz="0" w:space="0" w:color="auto"/>
                                <w:right w:val="none" w:sz="0" w:space="0" w:color="auto"/>
                              </w:divBdr>
                              <w:divsChild>
                                <w:div w:id="1835802392">
                                  <w:marLeft w:val="0"/>
                                  <w:marRight w:val="0"/>
                                  <w:marTop w:val="0"/>
                                  <w:marBottom w:val="0"/>
                                  <w:divBdr>
                                    <w:top w:val="none" w:sz="0" w:space="0" w:color="auto"/>
                                    <w:left w:val="none" w:sz="0" w:space="0" w:color="auto"/>
                                    <w:bottom w:val="none" w:sz="0" w:space="0" w:color="auto"/>
                                    <w:right w:val="none" w:sz="0" w:space="0" w:color="auto"/>
                                  </w:divBdr>
                                </w:div>
                              </w:divsChild>
                            </w:div>
                            <w:div w:id="319819153">
                              <w:marLeft w:val="0"/>
                              <w:marRight w:val="0"/>
                              <w:marTop w:val="0"/>
                              <w:marBottom w:val="0"/>
                              <w:divBdr>
                                <w:top w:val="none" w:sz="0" w:space="0" w:color="auto"/>
                                <w:left w:val="none" w:sz="0" w:space="0" w:color="auto"/>
                                <w:bottom w:val="none" w:sz="0" w:space="0" w:color="auto"/>
                                <w:right w:val="none" w:sz="0" w:space="0" w:color="auto"/>
                              </w:divBdr>
                              <w:divsChild>
                                <w:div w:id="1053971018">
                                  <w:marLeft w:val="0"/>
                                  <w:marRight w:val="0"/>
                                  <w:marTop w:val="0"/>
                                  <w:marBottom w:val="0"/>
                                  <w:divBdr>
                                    <w:top w:val="none" w:sz="0" w:space="0" w:color="auto"/>
                                    <w:left w:val="none" w:sz="0" w:space="0" w:color="auto"/>
                                    <w:bottom w:val="none" w:sz="0" w:space="0" w:color="auto"/>
                                    <w:right w:val="none" w:sz="0" w:space="0" w:color="auto"/>
                                  </w:divBdr>
                                  <w:divsChild>
                                    <w:div w:id="1306352888">
                                      <w:marLeft w:val="0"/>
                                      <w:marRight w:val="0"/>
                                      <w:marTop w:val="0"/>
                                      <w:marBottom w:val="0"/>
                                      <w:divBdr>
                                        <w:top w:val="none" w:sz="0" w:space="0" w:color="auto"/>
                                        <w:left w:val="none" w:sz="0" w:space="0" w:color="auto"/>
                                        <w:bottom w:val="none" w:sz="0" w:space="0" w:color="auto"/>
                                        <w:right w:val="none" w:sz="0" w:space="0" w:color="auto"/>
                                      </w:divBdr>
                                    </w:div>
                                  </w:divsChild>
                                </w:div>
                                <w:div w:id="1869443571">
                                  <w:marLeft w:val="0"/>
                                  <w:marRight w:val="0"/>
                                  <w:marTop w:val="0"/>
                                  <w:marBottom w:val="0"/>
                                  <w:divBdr>
                                    <w:top w:val="none" w:sz="0" w:space="0" w:color="auto"/>
                                    <w:left w:val="none" w:sz="0" w:space="0" w:color="auto"/>
                                    <w:bottom w:val="none" w:sz="0" w:space="0" w:color="auto"/>
                                    <w:right w:val="none" w:sz="0" w:space="0" w:color="auto"/>
                                  </w:divBdr>
                                  <w:divsChild>
                                    <w:div w:id="2057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777902">
          <w:marLeft w:val="0"/>
          <w:marRight w:val="0"/>
          <w:marTop w:val="0"/>
          <w:marBottom w:val="450"/>
          <w:divBdr>
            <w:top w:val="none" w:sz="0" w:space="0" w:color="auto"/>
            <w:left w:val="none" w:sz="0" w:space="0" w:color="auto"/>
            <w:bottom w:val="none" w:sz="0" w:space="0" w:color="auto"/>
            <w:right w:val="none" w:sz="0" w:space="0" w:color="auto"/>
          </w:divBdr>
          <w:divsChild>
            <w:div w:id="29036331">
              <w:marLeft w:val="-225"/>
              <w:marRight w:val="-225"/>
              <w:marTop w:val="0"/>
              <w:marBottom w:val="0"/>
              <w:divBdr>
                <w:top w:val="none" w:sz="0" w:space="0" w:color="auto"/>
                <w:left w:val="none" w:sz="0" w:space="0" w:color="auto"/>
                <w:bottom w:val="none" w:sz="0" w:space="0" w:color="auto"/>
                <w:right w:val="none" w:sz="0" w:space="0" w:color="auto"/>
              </w:divBdr>
              <w:divsChild>
                <w:div w:id="1742824879">
                  <w:marLeft w:val="0"/>
                  <w:marRight w:val="0"/>
                  <w:marTop w:val="0"/>
                  <w:marBottom w:val="0"/>
                  <w:divBdr>
                    <w:top w:val="none" w:sz="0" w:space="0" w:color="auto"/>
                    <w:left w:val="none" w:sz="0" w:space="0" w:color="auto"/>
                    <w:bottom w:val="none" w:sz="0" w:space="0" w:color="auto"/>
                    <w:right w:val="none" w:sz="0" w:space="0" w:color="auto"/>
                  </w:divBdr>
                  <w:divsChild>
                    <w:div w:id="12997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2745">
          <w:marLeft w:val="0"/>
          <w:marRight w:val="0"/>
          <w:marTop w:val="0"/>
          <w:marBottom w:val="0"/>
          <w:divBdr>
            <w:top w:val="single" w:sz="18" w:space="23" w:color="B70C0C"/>
            <w:left w:val="single" w:sz="18" w:space="23" w:color="B70C0C"/>
            <w:bottom w:val="single" w:sz="18" w:space="23" w:color="B70C0C"/>
            <w:right w:val="single" w:sz="18" w:space="23" w:color="B70C0C"/>
          </w:divBdr>
          <w:divsChild>
            <w:div w:id="1315986235">
              <w:marLeft w:val="0"/>
              <w:marRight w:val="0"/>
              <w:marTop w:val="0"/>
              <w:marBottom w:val="450"/>
              <w:divBdr>
                <w:top w:val="none" w:sz="0" w:space="0" w:color="auto"/>
                <w:left w:val="none" w:sz="0" w:space="0" w:color="auto"/>
                <w:bottom w:val="none" w:sz="0" w:space="0" w:color="auto"/>
                <w:right w:val="none" w:sz="0" w:space="0" w:color="auto"/>
              </w:divBdr>
            </w:div>
            <w:div w:id="628904089">
              <w:marLeft w:val="0"/>
              <w:marRight w:val="0"/>
              <w:marTop w:val="0"/>
              <w:marBottom w:val="300"/>
              <w:divBdr>
                <w:top w:val="none" w:sz="0" w:space="0" w:color="auto"/>
                <w:left w:val="none" w:sz="0" w:space="0" w:color="auto"/>
                <w:bottom w:val="none" w:sz="0" w:space="0" w:color="auto"/>
                <w:right w:val="none" w:sz="0" w:space="0" w:color="auto"/>
              </w:divBdr>
              <w:divsChild>
                <w:div w:id="440495796">
                  <w:marLeft w:val="0"/>
                  <w:marRight w:val="0"/>
                  <w:marTop w:val="0"/>
                  <w:marBottom w:val="0"/>
                  <w:divBdr>
                    <w:top w:val="none" w:sz="0" w:space="0" w:color="auto"/>
                    <w:left w:val="none" w:sz="0" w:space="0" w:color="auto"/>
                    <w:bottom w:val="none" w:sz="0" w:space="0" w:color="auto"/>
                    <w:right w:val="none" w:sz="0" w:space="0" w:color="auto"/>
                  </w:divBdr>
                </w:div>
              </w:divsChild>
            </w:div>
            <w:div w:id="921186903">
              <w:marLeft w:val="0"/>
              <w:marRight w:val="0"/>
              <w:marTop w:val="0"/>
              <w:marBottom w:val="300"/>
              <w:divBdr>
                <w:top w:val="none" w:sz="0" w:space="0" w:color="auto"/>
                <w:left w:val="none" w:sz="0" w:space="0" w:color="auto"/>
                <w:bottom w:val="none" w:sz="0" w:space="0" w:color="auto"/>
                <w:right w:val="none" w:sz="0" w:space="0" w:color="auto"/>
              </w:divBdr>
              <w:divsChild>
                <w:div w:id="677394394">
                  <w:marLeft w:val="0"/>
                  <w:marRight w:val="0"/>
                  <w:marTop w:val="0"/>
                  <w:marBottom w:val="0"/>
                  <w:divBdr>
                    <w:top w:val="none" w:sz="0" w:space="0" w:color="auto"/>
                    <w:left w:val="none" w:sz="0" w:space="0" w:color="auto"/>
                    <w:bottom w:val="none" w:sz="0" w:space="0" w:color="auto"/>
                    <w:right w:val="none" w:sz="0" w:space="0" w:color="auto"/>
                  </w:divBdr>
                </w:div>
              </w:divsChild>
            </w:div>
            <w:div w:id="1199007882">
              <w:marLeft w:val="0"/>
              <w:marRight w:val="0"/>
              <w:marTop w:val="0"/>
              <w:marBottom w:val="0"/>
              <w:divBdr>
                <w:top w:val="none" w:sz="0" w:space="0" w:color="auto"/>
                <w:left w:val="none" w:sz="0" w:space="0" w:color="auto"/>
                <w:bottom w:val="none" w:sz="0" w:space="0" w:color="auto"/>
                <w:right w:val="none" w:sz="0" w:space="0" w:color="auto"/>
              </w:divBdr>
            </w:div>
          </w:divsChild>
        </w:div>
        <w:div w:id="1051727313">
          <w:marLeft w:val="0"/>
          <w:marRight w:val="0"/>
          <w:marTop w:val="375"/>
          <w:marBottom w:val="600"/>
          <w:divBdr>
            <w:top w:val="single" w:sz="6" w:space="11" w:color="F0F0F0"/>
            <w:left w:val="single" w:sz="18" w:space="11" w:color="B70C0C"/>
            <w:bottom w:val="single" w:sz="6" w:space="11" w:color="F0F0F0"/>
            <w:right w:val="single" w:sz="6" w:space="11" w:color="F0F0F0"/>
          </w:divBdr>
          <w:divsChild>
            <w:div w:id="491533998">
              <w:marLeft w:val="0"/>
              <w:marRight w:val="0"/>
              <w:marTop w:val="0"/>
              <w:marBottom w:val="0"/>
              <w:divBdr>
                <w:top w:val="none" w:sz="0" w:space="0" w:color="auto"/>
                <w:left w:val="none" w:sz="0" w:space="0" w:color="auto"/>
                <w:bottom w:val="none" w:sz="0" w:space="0" w:color="auto"/>
                <w:right w:val="none" w:sz="0" w:space="0" w:color="auto"/>
              </w:divBdr>
              <w:divsChild>
                <w:div w:id="1938556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6936236">
      <w:bodyDiv w:val="1"/>
      <w:marLeft w:val="0"/>
      <w:marRight w:val="0"/>
      <w:marTop w:val="0"/>
      <w:marBottom w:val="0"/>
      <w:divBdr>
        <w:top w:val="none" w:sz="0" w:space="0" w:color="auto"/>
        <w:left w:val="none" w:sz="0" w:space="0" w:color="auto"/>
        <w:bottom w:val="none" w:sz="0" w:space="0" w:color="auto"/>
        <w:right w:val="none" w:sz="0" w:space="0" w:color="auto"/>
      </w:divBdr>
    </w:div>
    <w:div w:id="379134864">
      <w:bodyDiv w:val="1"/>
      <w:marLeft w:val="0"/>
      <w:marRight w:val="0"/>
      <w:marTop w:val="0"/>
      <w:marBottom w:val="0"/>
      <w:divBdr>
        <w:top w:val="none" w:sz="0" w:space="0" w:color="auto"/>
        <w:left w:val="none" w:sz="0" w:space="0" w:color="auto"/>
        <w:bottom w:val="none" w:sz="0" w:space="0" w:color="auto"/>
        <w:right w:val="none" w:sz="0" w:space="0" w:color="auto"/>
      </w:divBdr>
    </w:div>
    <w:div w:id="1016273712">
      <w:bodyDiv w:val="1"/>
      <w:marLeft w:val="0"/>
      <w:marRight w:val="0"/>
      <w:marTop w:val="0"/>
      <w:marBottom w:val="0"/>
      <w:divBdr>
        <w:top w:val="none" w:sz="0" w:space="0" w:color="auto"/>
        <w:left w:val="none" w:sz="0" w:space="0" w:color="auto"/>
        <w:bottom w:val="none" w:sz="0" w:space="0" w:color="auto"/>
        <w:right w:val="none" w:sz="0" w:space="0" w:color="auto"/>
      </w:divBdr>
    </w:div>
    <w:div w:id="1358972147">
      <w:bodyDiv w:val="1"/>
      <w:marLeft w:val="0"/>
      <w:marRight w:val="0"/>
      <w:marTop w:val="0"/>
      <w:marBottom w:val="0"/>
      <w:divBdr>
        <w:top w:val="none" w:sz="0" w:space="0" w:color="auto"/>
        <w:left w:val="none" w:sz="0" w:space="0" w:color="auto"/>
        <w:bottom w:val="none" w:sz="0" w:space="0" w:color="auto"/>
        <w:right w:val="none" w:sz="0" w:space="0" w:color="auto"/>
      </w:divBdr>
    </w:div>
    <w:div w:id="1588618062">
      <w:bodyDiv w:val="1"/>
      <w:marLeft w:val="0"/>
      <w:marRight w:val="0"/>
      <w:marTop w:val="0"/>
      <w:marBottom w:val="0"/>
      <w:divBdr>
        <w:top w:val="none" w:sz="0" w:space="0" w:color="auto"/>
        <w:left w:val="none" w:sz="0" w:space="0" w:color="auto"/>
        <w:bottom w:val="none" w:sz="0" w:space="0" w:color="auto"/>
        <w:right w:val="none" w:sz="0" w:space="0" w:color="auto"/>
      </w:divBdr>
    </w:div>
    <w:div w:id="1636719479">
      <w:bodyDiv w:val="1"/>
      <w:marLeft w:val="0"/>
      <w:marRight w:val="0"/>
      <w:marTop w:val="0"/>
      <w:marBottom w:val="0"/>
      <w:divBdr>
        <w:top w:val="none" w:sz="0" w:space="0" w:color="auto"/>
        <w:left w:val="none" w:sz="0" w:space="0" w:color="auto"/>
        <w:bottom w:val="none" w:sz="0" w:space="0" w:color="auto"/>
        <w:right w:val="none" w:sz="0" w:space="0" w:color="auto"/>
      </w:divBdr>
      <w:divsChild>
        <w:div w:id="514922470">
          <w:marLeft w:val="0"/>
          <w:marRight w:val="0"/>
          <w:marTop w:val="0"/>
          <w:marBottom w:val="450"/>
          <w:divBdr>
            <w:top w:val="single" w:sz="12" w:space="15" w:color="1662A9"/>
            <w:left w:val="single" w:sz="12" w:space="23" w:color="1662A9"/>
            <w:bottom w:val="single" w:sz="12" w:space="23" w:color="1662A9"/>
            <w:right w:val="single" w:sz="12" w:space="23" w:color="1662A9"/>
          </w:divBdr>
          <w:divsChild>
            <w:div w:id="360395757">
              <w:marLeft w:val="0"/>
              <w:marRight w:val="0"/>
              <w:marTop w:val="0"/>
              <w:marBottom w:val="0"/>
              <w:divBdr>
                <w:top w:val="none" w:sz="0" w:space="0" w:color="auto"/>
                <w:left w:val="none" w:sz="0" w:space="0" w:color="auto"/>
                <w:bottom w:val="none" w:sz="0" w:space="0" w:color="auto"/>
                <w:right w:val="none" w:sz="0" w:space="0" w:color="auto"/>
              </w:divBdr>
              <w:divsChild>
                <w:div w:id="16221055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B12B6-174F-4646-9306-FD2F34BB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1802</Words>
  <Characters>10277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5</cp:revision>
  <cp:lastPrinted>2022-01-10T11:17:00Z</cp:lastPrinted>
  <dcterms:created xsi:type="dcterms:W3CDTF">2022-01-10T11:24:00Z</dcterms:created>
  <dcterms:modified xsi:type="dcterms:W3CDTF">2022-01-10T11:32:00Z</dcterms:modified>
</cp:coreProperties>
</file>